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2D273" w14:textId="77777777" w:rsidR="00BF14E8" w:rsidRPr="00BF14E8" w:rsidRDefault="00BF14E8" w:rsidP="00BF14E8">
      <w:pPr>
        <w:pBdr>
          <w:bottom w:val="single" w:sz="8" w:space="4" w:color="4F81BD"/>
        </w:pBdr>
        <w:spacing w:before="160" w:after="100" w:line="240" w:lineRule="auto"/>
        <w:contextualSpacing/>
        <w:rPr>
          <w:rFonts w:ascii="Calibri" w:eastAsia="MS Gothic" w:hAnsi="Calibri" w:cs="Times New Roman"/>
          <w:b/>
          <w:color w:val="123953"/>
          <w:spacing w:val="5"/>
          <w:kern w:val="28"/>
          <w:sz w:val="32"/>
          <w:szCs w:val="52"/>
        </w:rPr>
      </w:pPr>
      <w:r w:rsidRPr="00BF14E8">
        <w:rPr>
          <w:rFonts w:ascii="Calibri" w:eastAsia="MS Gothic" w:hAnsi="Calibri" w:cs="Times New Roman"/>
          <w:b/>
          <w:color w:val="123953"/>
          <w:spacing w:val="5"/>
          <w:kern w:val="28"/>
          <w:sz w:val="32"/>
          <w:szCs w:val="52"/>
        </w:rPr>
        <w:t>INDIVIDUAL RESEARCH COLLABORATION &amp; PUBLICATION EVIDENCE</w:t>
      </w:r>
    </w:p>
    <w:p w14:paraId="2F0076B2" w14:textId="77777777" w:rsidR="00BF14E8" w:rsidRPr="00BF14E8" w:rsidRDefault="00BF14E8" w:rsidP="00BF14E8">
      <w:pPr>
        <w:numPr>
          <w:ilvl w:val="1"/>
          <w:numId w:val="0"/>
        </w:numPr>
        <w:spacing w:after="100"/>
        <w:rPr>
          <w:rFonts w:ascii="Calibri" w:eastAsia="MS Gothic" w:hAnsi="Calibri" w:cs="Times New Roman"/>
          <w:i/>
          <w:iCs/>
          <w:color w:val="4F81BD"/>
          <w:spacing w:val="15"/>
          <w:sz w:val="24"/>
          <w:szCs w:val="24"/>
        </w:rPr>
      </w:pPr>
      <w:r w:rsidRPr="00BF14E8">
        <w:rPr>
          <w:rFonts w:ascii="Calibri" w:eastAsia="MS Gothic" w:hAnsi="Calibri" w:cs="Times New Roman"/>
          <w:i/>
          <w:iCs/>
          <w:color w:val="4F81BD"/>
          <w:spacing w:val="15"/>
          <w:sz w:val="24"/>
          <w:szCs w:val="24"/>
        </w:rPr>
        <w:t>Submission to the KolaDaisi University NUC Ranking Data Collection Committee</w:t>
      </w:r>
    </w:p>
    <w:tbl>
      <w:tblPr>
        <w:tblStyle w:val="TableGrid"/>
        <w:tblW w:w="0" w:type="auto"/>
        <w:jc w:val="center"/>
        <w:tblLayout w:type="fixed"/>
        <w:tblLook w:val="04A0" w:firstRow="1" w:lastRow="0" w:firstColumn="1" w:lastColumn="0" w:noHBand="0" w:noVBand="1"/>
      </w:tblPr>
      <w:tblGrid>
        <w:gridCol w:w="2520"/>
        <w:gridCol w:w="4392"/>
        <w:gridCol w:w="2376"/>
      </w:tblGrid>
      <w:tr w:rsidR="00BF14E8" w:rsidRPr="00BF14E8" w14:paraId="35AA5E8B" w14:textId="77777777" w:rsidTr="00210395">
        <w:trPr>
          <w:cantSplit/>
          <w:tblHeader/>
          <w:jc w:val="center"/>
        </w:trPr>
        <w:tc>
          <w:tcPr>
            <w:tcW w:w="2520" w:type="dxa"/>
            <w:shd w:val="clear" w:color="auto" w:fill="DCEAF0"/>
            <w:vAlign w:val="center"/>
          </w:tcPr>
          <w:p w14:paraId="3FD65A50" w14:textId="77777777" w:rsidR="00BF14E8" w:rsidRPr="00BF14E8" w:rsidRDefault="00BF14E8" w:rsidP="00BF14E8">
            <w:pPr>
              <w:spacing w:before="20" w:after="20" w:line="240" w:lineRule="auto"/>
              <w:rPr>
                <w:rFonts w:eastAsia="MS Mincho" w:cs="Times New Roman"/>
                <w:color w:val="1C2A33"/>
                <w:sz w:val="18"/>
              </w:rPr>
            </w:pPr>
            <w:r w:rsidRPr="00BF14E8">
              <w:rPr>
                <w:rFonts w:eastAsia="MS Mincho" w:cs="Times New Roman"/>
                <w:b/>
                <w:color w:val="1C2A33"/>
                <w:sz w:val="15"/>
              </w:rPr>
              <w:t>Staff member</w:t>
            </w:r>
          </w:p>
        </w:tc>
        <w:tc>
          <w:tcPr>
            <w:tcW w:w="4392" w:type="dxa"/>
            <w:shd w:val="clear" w:color="auto" w:fill="DCEAF0"/>
            <w:vAlign w:val="center"/>
          </w:tcPr>
          <w:p w14:paraId="1D538C20" w14:textId="77777777" w:rsidR="00BF14E8" w:rsidRPr="00BF14E8" w:rsidRDefault="00BF14E8" w:rsidP="00BF14E8">
            <w:pPr>
              <w:spacing w:before="20" w:after="20" w:line="240" w:lineRule="auto"/>
              <w:rPr>
                <w:rFonts w:eastAsia="MS Mincho" w:cs="Times New Roman"/>
                <w:color w:val="1C2A33"/>
                <w:sz w:val="18"/>
              </w:rPr>
            </w:pPr>
            <w:r w:rsidRPr="00BF14E8">
              <w:rPr>
                <w:rFonts w:eastAsia="MS Mincho" w:cs="Times New Roman"/>
                <w:b/>
                <w:color w:val="1C2A33"/>
                <w:sz w:val="15"/>
              </w:rPr>
              <w:t>Position / Institution</w:t>
            </w:r>
          </w:p>
        </w:tc>
        <w:tc>
          <w:tcPr>
            <w:tcW w:w="2376" w:type="dxa"/>
            <w:shd w:val="clear" w:color="auto" w:fill="DCEAF0"/>
            <w:vAlign w:val="center"/>
          </w:tcPr>
          <w:p w14:paraId="29337208" w14:textId="77777777" w:rsidR="00BF14E8" w:rsidRPr="00BF14E8" w:rsidRDefault="00BF14E8" w:rsidP="00BF14E8">
            <w:pPr>
              <w:spacing w:before="20" w:after="20" w:line="240" w:lineRule="auto"/>
              <w:rPr>
                <w:rFonts w:eastAsia="MS Mincho" w:cs="Times New Roman"/>
                <w:color w:val="1C2A33"/>
                <w:sz w:val="18"/>
              </w:rPr>
            </w:pPr>
            <w:r w:rsidRPr="00BF14E8">
              <w:rPr>
                <w:rFonts w:eastAsia="MS Mincho" w:cs="Times New Roman"/>
                <w:b/>
                <w:color w:val="1C2A33"/>
                <w:sz w:val="15"/>
              </w:rPr>
              <w:t>Reporting cut-off</w:t>
            </w:r>
          </w:p>
        </w:tc>
      </w:tr>
      <w:tr w:rsidR="00BF14E8" w:rsidRPr="00BF14E8" w14:paraId="48B65D73" w14:textId="77777777" w:rsidTr="00210395">
        <w:trPr>
          <w:cantSplit/>
          <w:jc w:val="center"/>
        </w:trPr>
        <w:tc>
          <w:tcPr>
            <w:tcW w:w="2520" w:type="dxa"/>
            <w:vAlign w:val="center"/>
          </w:tcPr>
          <w:p w14:paraId="63F9D8D4" w14:textId="77777777" w:rsidR="00BF14E8" w:rsidRPr="00BF14E8" w:rsidRDefault="00BF14E8" w:rsidP="00BF14E8">
            <w:pPr>
              <w:spacing w:before="20" w:after="20" w:line="240" w:lineRule="auto"/>
              <w:rPr>
                <w:rFonts w:eastAsia="MS Mincho" w:cs="Times New Roman"/>
                <w:color w:val="1C2A33"/>
                <w:sz w:val="18"/>
              </w:rPr>
            </w:pPr>
            <w:r w:rsidRPr="00BF14E8">
              <w:rPr>
                <w:rFonts w:eastAsia="MS Mincho" w:cs="Times New Roman"/>
                <w:color w:val="1C2A33"/>
                <w:sz w:val="15"/>
              </w:rPr>
              <w:t>Dr Olalekan Bukunmi Ogunro</w:t>
            </w:r>
          </w:p>
        </w:tc>
        <w:tc>
          <w:tcPr>
            <w:tcW w:w="4392" w:type="dxa"/>
            <w:vAlign w:val="center"/>
          </w:tcPr>
          <w:p w14:paraId="03003129" w14:textId="77777777" w:rsidR="00BF14E8" w:rsidRPr="00BF14E8" w:rsidRDefault="00BF14E8" w:rsidP="00BF14E8">
            <w:pPr>
              <w:spacing w:before="20" w:after="20" w:line="240" w:lineRule="auto"/>
              <w:rPr>
                <w:rFonts w:eastAsia="MS Mincho" w:cs="Times New Roman"/>
                <w:color w:val="1C2A33"/>
                <w:sz w:val="18"/>
              </w:rPr>
            </w:pPr>
            <w:r w:rsidRPr="00BF14E8">
              <w:rPr>
                <w:rFonts w:eastAsia="MS Mincho" w:cs="Times New Roman"/>
                <w:color w:val="1C2A33"/>
                <w:sz w:val="15"/>
              </w:rPr>
              <w:t>Senior Lecturer (Biochemistry), KolaDaisi University, Ibadan</w:t>
            </w:r>
          </w:p>
        </w:tc>
        <w:tc>
          <w:tcPr>
            <w:tcW w:w="2376" w:type="dxa"/>
            <w:vAlign w:val="center"/>
          </w:tcPr>
          <w:p w14:paraId="396A93D6" w14:textId="77777777" w:rsidR="00BF14E8" w:rsidRPr="00BF14E8" w:rsidRDefault="00BF14E8" w:rsidP="00BF14E8">
            <w:pPr>
              <w:spacing w:before="20" w:after="20" w:line="240" w:lineRule="auto"/>
              <w:rPr>
                <w:rFonts w:eastAsia="MS Mincho" w:cs="Times New Roman"/>
                <w:color w:val="1C2A33"/>
                <w:sz w:val="18"/>
              </w:rPr>
            </w:pPr>
            <w:r w:rsidRPr="00BF14E8">
              <w:rPr>
                <w:rFonts w:eastAsia="MS Mincho" w:cs="Times New Roman"/>
                <w:color w:val="1C2A33"/>
                <w:sz w:val="15"/>
              </w:rPr>
              <w:t>30 June 2026</w:t>
            </w:r>
          </w:p>
        </w:tc>
      </w:tr>
    </w:tbl>
    <w:p w14:paraId="77827E51" w14:textId="77777777" w:rsidR="000675F0" w:rsidRPr="000675F0" w:rsidRDefault="000675F0" w:rsidP="000675F0">
      <w:pPr>
        <w:keepNext/>
        <w:keepLines/>
        <w:spacing w:before="160" w:after="80"/>
        <w:outlineLvl w:val="0"/>
        <w:rPr>
          <w:rFonts w:ascii="Calibri" w:eastAsia="MS Gothic" w:hAnsi="Calibri" w:cs="Times New Roman"/>
          <w:b/>
          <w:bCs/>
          <w:color w:val="193F55"/>
          <w:sz w:val="23"/>
          <w:szCs w:val="28"/>
        </w:rPr>
      </w:pPr>
      <w:r w:rsidRPr="000675F0">
        <w:rPr>
          <w:rFonts w:ascii="Calibri" w:eastAsia="MS Gothic" w:hAnsi="Calibri" w:cs="Times New Roman"/>
          <w:b/>
          <w:bCs/>
          <w:color w:val="193F55"/>
          <w:sz w:val="23"/>
          <w:szCs w:val="28"/>
        </w:rPr>
        <w:t>Purpose and declaration of scope</w:t>
      </w:r>
    </w:p>
    <w:p w14:paraId="21F519D8" w14:textId="77777777" w:rsidR="006F0140" w:rsidRPr="006F0140" w:rsidRDefault="006F0140" w:rsidP="006F0140">
      <w:pPr>
        <w:keepNext/>
        <w:keepLines/>
        <w:spacing w:before="160" w:after="80"/>
        <w:outlineLvl w:val="0"/>
        <w:rPr>
          <w:rFonts w:eastAsia="MS Mincho" w:cs="Times New Roman"/>
          <w:color w:val="222E38"/>
          <w:sz w:val="17"/>
        </w:rPr>
      </w:pPr>
      <w:r w:rsidRPr="006F0140">
        <w:rPr>
          <w:rFonts w:eastAsia="MS Mincho" w:cs="Times New Roman"/>
          <w:color w:val="222E38"/>
          <w:sz w:val="17"/>
        </w:rPr>
        <w:t>I submit the following as my individual contribution to KolaDaisi University's NUC ranking data collection. My coauthored publications demonstrate research collaboration with scholars affiliated with institutions in other African countries and elsewhere internationally.</w:t>
      </w:r>
    </w:p>
    <w:p w14:paraId="52ED449E" w14:textId="77777777" w:rsidR="006F0140" w:rsidRPr="006F0140" w:rsidRDefault="006F0140" w:rsidP="006F0140">
      <w:pPr>
        <w:keepNext/>
        <w:keepLines/>
        <w:spacing w:before="160" w:after="80"/>
        <w:outlineLvl w:val="0"/>
        <w:rPr>
          <w:rFonts w:eastAsia="MS Mincho" w:cs="Times New Roman"/>
          <w:color w:val="222E38"/>
          <w:sz w:val="17"/>
        </w:rPr>
      </w:pPr>
      <w:r w:rsidRPr="006F0140">
        <w:rPr>
          <w:rFonts w:eastAsia="MS Mincho" w:cs="Times New Roman"/>
          <w:color w:val="222E38"/>
          <w:sz w:val="17"/>
        </w:rPr>
        <w:t>This submission documents my personal research contributions and does not represent university-wide totals. Published coauthorship is distinguished from formally registered active research projects, industry partnerships and institutional Memoranda of Understanding (MoUs).</w:t>
      </w:r>
    </w:p>
    <w:p w14:paraId="7FE5B478" w14:textId="77777777" w:rsidR="000675F0" w:rsidRPr="000675F0" w:rsidRDefault="000675F0" w:rsidP="000675F0">
      <w:pPr>
        <w:keepNext/>
        <w:keepLines/>
        <w:spacing w:before="160" w:after="80"/>
        <w:outlineLvl w:val="0"/>
        <w:rPr>
          <w:rFonts w:ascii="Calibri" w:eastAsia="MS Gothic" w:hAnsi="Calibri" w:cs="Times New Roman"/>
          <w:b/>
          <w:bCs/>
          <w:color w:val="193F55"/>
          <w:sz w:val="23"/>
          <w:szCs w:val="28"/>
        </w:rPr>
      </w:pPr>
      <w:r w:rsidRPr="000675F0">
        <w:rPr>
          <w:rFonts w:ascii="Calibri" w:eastAsia="MS Gothic" w:hAnsi="Calibri" w:cs="Times New Roman"/>
          <w:b/>
          <w:bCs/>
          <w:color w:val="193F55"/>
          <w:sz w:val="23"/>
          <w:szCs w:val="28"/>
        </w:rPr>
        <w:t>Responses to the six requested indicators</w:t>
      </w:r>
    </w:p>
    <w:tbl>
      <w:tblPr>
        <w:tblStyle w:val="TableGrid"/>
        <w:tblW w:w="0" w:type="auto"/>
        <w:jc w:val="center"/>
        <w:tblLayout w:type="fixed"/>
        <w:tblLook w:val="04A0" w:firstRow="1" w:lastRow="0" w:firstColumn="1" w:lastColumn="0" w:noHBand="0" w:noVBand="1"/>
      </w:tblPr>
      <w:tblGrid>
        <w:gridCol w:w="3672"/>
        <w:gridCol w:w="5616"/>
      </w:tblGrid>
      <w:tr w:rsidR="000675F0" w:rsidRPr="000675F0" w14:paraId="7F528370" w14:textId="77777777" w:rsidTr="00210395">
        <w:trPr>
          <w:cantSplit/>
          <w:tblHeader/>
          <w:jc w:val="center"/>
        </w:trPr>
        <w:tc>
          <w:tcPr>
            <w:tcW w:w="3672" w:type="dxa"/>
            <w:shd w:val="clear" w:color="auto" w:fill="E0EBEF"/>
            <w:vAlign w:val="center"/>
          </w:tcPr>
          <w:p w14:paraId="2A495528"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b/>
                <w:color w:val="222E38"/>
                <w:sz w:val="14"/>
              </w:rPr>
              <w:t>NUC indicator</w:t>
            </w:r>
          </w:p>
        </w:tc>
        <w:tc>
          <w:tcPr>
            <w:tcW w:w="5616" w:type="dxa"/>
            <w:shd w:val="clear" w:color="auto" w:fill="E0EBEF"/>
            <w:vAlign w:val="center"/>
          </w:tcPr>
          <w:p w14:paraId="5A54B938"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b/>
                <w:color w:val="222E38"/>
                <w:sz w:val="14"/>
              </w:rPr>
              <w:t>Personal evidence and reportable status</w:t>
            </w:r>
          </w:p>
        </w:tc>
      </w:tr>
      <w:tr w:rsidR="000675F0" w:rsidRPr="000675F0" w14:paraId="2C360F64" w14:textId="77777777" w:rsidTr="00210395">
        <w:trPr>
          <w:cantSplit/>
          <w:jc w:val="center"/>
        </w:trPr>
        <w:tc>
          <w:tcPr>
            <w:tcW w:w="3672" w:type="dxa"/>
            <w:vAlign w:val="center"/>
          </w:tcPr>
          <w:p w14:paraId="1B8967AF"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1. Active international collaborative research projects</w:t>
            </w:r>
          </w:p>
        </w:tc>
        <w:tc>
          <w:tcPr>
            <w:tcW w:w="5616" w:type="dxa"/>
            <w:vAlign w:val="center"/>
          </w:tcPr>
          <w:p w14:paraId="015B7221" w14:textId="65D2B466" w:rsidR="000675F0" w:rsidRPr="000675F0" w:rsidRDefault="00DB2679" w:rsidP="000675F0">
            <w:pPr>
              <w:spacing w:after="20" w:line="240" w:lineRule="auto"/>
              <w:rPr>
                <w:rFonts w:eastAsia="MS Mincho" w:cs="Times New Roman"/>
                <w:color w:val="222E38"/>
                <w:sz w:val="17"/>
              </w:rPr>
            </w:pPr>
            <w:r w:rsidRPr="00DB2679">
              <w:rPr>
                <w:rFonts w:eastAsia="MS Mincho" w:cs="Times New Roman"/>
                <w:color w:val="222E38"/>
                <w:sz w:val="14"/>
              </w:rPr>
              <w:t>No independently verified numerical count of projects active on 30 June 2026 is declared.</w:t>
            </w:r>
          </w:p>
        </w:tc>
      </w:tr>
      <w:tr w:rsidR="000675F0" w:rsidRPr="000675F0" w14:paraId="40D26CDF" w14:textId="77777777" w:rsidTr="00210395">
        <w:trPr>
          <w:cantSplit/>
          <w:jc w:val="center"/>
        </w:trPr>
        <w:tc>
          <w:tcPr>
            <w:tcW w:w="3672" w:type="dxa"/>
            <w:shd w:val="clear" w:color="auto" w:fill="F5F8F9"/>
            <w:vAlign w:val="center"/>
          </w:tcPr>
          <w:p w14:paraId="30F93A09"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2. Project titles, funders, partners and dates</w:t>
            </w:r>
          </w:p>
        </w:tc>
        <w:tc>
          <w:tcPr>
            <w:tcW w:w="5616" w:type="dxa"/>
            <w:shd w:val="clear" w:color="auto" w:fill="F5F8F9"/>
            <w:vAlign w:val="center"/>
          </w:tcPr>
          <w:p w14:paraId="64342DEB" w14:textId="0816D1F8"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Six</w:t>
            </w:r>
            <w:r w:rsidR="0006284A">
              <w:rPr>
                <w:rFonts w:eastAsia="MS Mincho" w:cs="Times New Roman"/>
                <w:color w:val="222E38"/>
                <w:sz w:val="14"/>
              </w:rPr>
              <w:t xml:space="preserve"> </w:t>
            </w:r>
            <w:r w:rsidRPr="000675F0">
              <w:rPr>
                <w:rFonts w:eastAsia="MS Mincho" w:cs="Times New Roman"/>
                <w:color w:val="222E38"/>
                <w:sz w:val="14"/>
              </w:rPr>
              <w:t>jointly published studies are tabulated below. Their research titles and partner institutions can be cited; funding and formal project start/end dates are not substantiated.</w:t>
            </w:r>
          </w:p>
        </w:tc>
      </w:tr>
      <w:tr w:rsidR="000675F0" w:rsidRPr="000675F0" w14:paraId="7BFDD2CC" w14:textId="77777777" w:rsidTr="00210395">
        <w:trPr>
          <w:cantSplit/>
          <w:jc w:val="center"/>
        </w:trPr>
        <w:tc>
          <w:tcPr>
            <w:tcW w:w="3672" w:type="dxa"/>
            <w:vAlign w:val="center"/>
          </w:tcPr>
          <w:p w14:paraId="63A776BC"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3. Active partnerships with local/regional industries</w:t>
            </w:r>
          </w:p>
        </w:tc>
        <w:tc>
          <w:tcPr>
            <w:tcW w:w="5616" w:type="dxa"/>
            <w:vAlign w:val="center"/>
          </w:tcPr>
          <w:p w14:paraId="2A82EE54"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 personally attributable formal partnership count can be verified from supplied records.</w:t>
            </w:r>
          </w:p>
        </w:tc>
      </w:tr>
      <w:tr w:rsidR="000675F0" w:rsidRPr="000675F0" w14:paraId="624FEE53" w14:textId="77777777" w:rsidTr="00210395">
        <w:trPr>
          <w:cantSplit/>
          <w:jc w:val="center"/>
        </w:trPr>
        <w:tc>
          <w:tcPr>
            <w:tcW w:w="3672" w:type="dxa"/>
            <w:shd w:val="clear" w:color="auto" w:fill="F5F8F9"/>
            <w:vAlign w:val="center"/>
          </w:tcPr>
          <w:p w14:paraId="538CC47C"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4. Five verifiable active MoUs</w:t>
            </w:r>
          </w:p>
        </w:tc>
        <w:tc>
          <w:tcPr>
            <w:tcW w:w="5616" w:type="dxa"/>
            <w:shd w:val="clear" w:color="auto" w:fill="F5F8F9"/>
            <w:vAlign w:val="center"/>
          </w:tcPr>
          <w:p w14:paraId="5A5AA3EF"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 signed and active institutional MoU records were supplied in the personal materials.</w:t>
            </w:r>
          </w:p>
        </w:tc>
      </w:tr>
      <w:tr w:rsidR="000675F0" w:rsidRPr="000675F0" w14:paraId="4E886630" w14:textId="77777777" w:rsidTr="00210395">
        <w:trPr>
          <w:cantSplit/>
          <w:jc w:val="center"/>
        </w:trPr>
        <w:tc>
          <w:tcPr>
            <w:tcW w:w="3672" w:type="dxa"/>
            <w:vAlign w:val="center"/>
          </w:tcPr>
          <w:p w14:paraId="2F76D293"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5. ≥20 joint papers in international outlets addressing Africa-priority themes</w:t>
            </w:r>
          </w:p>
        </w:tc>
        <w:tc>
          <w:tcPr>
            <w:tcW w:w="5616" w:type="dxa"/>
            <w:vAlign w:val="center"/>
          </w:tcPr>
          <w:p w14:paraId="7C7924DE"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30 candidate journal articles with clickable DOIs in Schedule A (pending paper-level eligibility confirmation).</w:t>
            </w:r>
          </w:p>
        </w:tc>
      </w:tr>
      <w:tr w:rsidR="000675F0" w:rsidRPr="000675F0" w14:paraId="114575D8" w14:textId="77777777" w:rsidTr="00210395">
        <w:trPr>
          <w:cantSplit/>
          <w:jc w:val="center"/>
        </w:trPr>
        <w:tc>
          <w:tcPr>
            <w:tcW w:w="3672" w:type="dxa"/>
            <w:shd w:val="clear" w:color="auto" w:fill="F5F8F9"/>
            <w:vAlign w:val="center"/>
          </w:tcPr>
          <w:p w14:paraId="61C51DEC"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6. ≥20 joint papers with other African-country scholars</w:t>
            </w:r>
          </w:p>
        </w:tc>
        <w:tc>
          <w:tcPr>
            <w:tcW w:w="5616" w:type="dxa"/>
            <w:shd w:val="clear" w:color="auto" w:fill="F5F8F9"/>
            <w:vAlign w:val="center"/>
          </w:tcPr>
          <w:p w14:paraId="6219C272"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11 candidate journal articles in Schedule B (10 previously supported; one with publisher-affiliation confirmation outstanding). University must aggregate additional staff publications to reach 20.</w:t>
            </w:r>
          </w:p>
        </w:tc>
      </w:tr>
    </w:tbl>
    <w:p w14:paraId="30C69E8F" w14:textId="77777777" w:rsidR="000675F0" w:rsidRPr="000675F0" w:rsidRDefault="000675F0" w:rsidP="000675F0">
      <w:pPr>
        <w:spacing w:after="0"/>
        <w:rPr>
          <w:rFonts w:eastAsia="MS Mincho" w:cs="Times New Roman"/>
          <w:color w:val="222E38"/>
          <w:sz w:val="17"/>
        </w:rPr>
      </w:pPr>
    </w:p>
    <w:p w14:paraId="4EBDAB8A" w14:textId="77777777" w:rsidR="000675F0" w:rsidRPr="000675F0" w:rsidRDefault="000675F0" w:rsidP="000675F0">
      <w:pPr>
        <w:keepNext/>
        <w:keepLines/>
        <w:spacing w:before="160" w:after="80"/>
        <w:outlineLvl w:val="0"/>
        <w:rPr>
          <w:rFonts w:ascii="Calibri" w:eastAsia="MS Gothic" w:hAnsi="Calibri" w:cs="Times New Roman"/>
          <w:b/>
          <w:bCs/>
          <w:color w:val="193F55"/>
          <w:sz w:val="23"/>
          <w:szCs w:val="28"/>
        </w:rPr>
      </w:pPr>
      <w:r w:rsidRPr="000675F0">
        <w:rPr>
          <w:rFonts w:ascii="Calibri" w:eastAsia="MS Gothic" w:hAnsi="Calibri" w:cs="Times New Roman"/>
          <w:b/>
          <w:bCs/>
          <w:color w:val="193F55"/>
          <w:sz w:val="23"/>
          <w:szCs w:val="28"/>
        </w:rPr>
        <w:t>1–2. Internationally collaborative research: documented outputs and project-status information</w:t>
      </w:r>
    </w:p>
    <w:p w14:paraId="5D6AB3EF" w14:textId="77777777" w:rsidR="000675F0" w:rsidRPr="000675F0" w:rsidRDefault="000675F0" w:rsidP="000675F0">
      <w:pPr>
        <w:spacing w:after="60"/>
        <w:rPr>
          <w:rFonts w:eastAsia="MS Mincho" w:cs="Times New Roman"/>
          <w:color w:val="222E38"/>
          <w:sz w:val="17"/>
        </w:rPr>
      </w:pPr>
      <w:r w:rsidRPr="000675F0">
        <w:rPr>
          <w:rFonts w:eastAsia="MS Mincho" w:cs="Times New Roman"/>
          <w:color w:val="222E38"/>
          <w:sz w:val="17"/>
        </w:rPr>
        <w:t>The following are identifiable joint research outputs, not certified active projects. Where the publication links an investigator to an external institution, that institution is listed as a publication collaborator; no institutional agreement, funding award or ongoing project period is inferred.</w:t>
      </w:r>
    </w:p>
    <w:tbl>
      <w:tblPr>
        <w:tblStyle w:val="TableGrid"/>
        <w:tblW w:w="0" w:type="auto"/>
        <w:jc w:val="center"/>
        <w:tblLayout w:type="fixed"/>
        <w:tblLook w:val="04A0" w:firstRow="1" w:lastRow="0" w:firstColumn="1" w:lastColumn="0" w:noHBand="0" w:noVBand="1"/>
      </w:tblPr>
      <w:tblGrid>
        <w:gridCol w:w="2520"/>
        <w:gridCol w:w="2160"/>
        <w:gridCol w:w="1152"/>
        <w:gridCol w:w="1051"/>
        <w:gridCol w:w="1080"/>
        <w:gridCol w:w="1325"/>
      </w:tblGrid>
      <w:tr w:rsidR="000675F0" w:rsidRPr="000675F0" w14:paraId="060C1E7D" w14:textId="77777777" w:rsidTr="00210395">
        <w:trPr>
          <w:cantSplit/>
          <w:tblHeader/>
          <w:jc w:val="center"/>
        </w:trPr>
        <w:tc>
          <w:tcPr>
            <w:tcW w:w="2520" w:type="dxa"/>
            <w:shd w:val="clear" w:color="auto" w:fill="E0EBEF"/>
            <w:vAlign w:val="center"/>
          </w:tcPr>
          <w:p w14:paraId="6185B9C1"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b/>
                <w:color w:val="222E38"/>
                <w:sz w:val="14"/>
              </w:rPr>
              <w:t>Research / published title</w:t>
            </w:r>
          </w:p>
        </w:tc>
        <w:tc>
          <w:tcPr>
            <w:tcW w:w="2160" w:type="dxa"/>
            <w:shd w:val="clear" w:color="auto" w:fill="E0EBEF"/>
            <w:vAlign w:val="center"/>
          </w:tcPr>
          <w:p w14:paraId="62340A76"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b/>
                <w:color w:val="222E38"/>
                <w:sz w:val="14"/>
              </w:rPr>
              <w:t>Collaborating institution(s)</w:t>
            </w:r>
          </w:p>
        </w:tc>
        <w:tc>
          <w:tcPr>
            <w:tcW w:w="1152" w:type="dxa"/>
            <w:shd w:val="clear" w:color="auto" w:fill="E0EBEF"/>
            <w:vAlign w:val="center"/>
          </w:tcPr>
          <w:p w14:paraId="0182398C"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b/>
                <w:color w:val="222E38"/>
                <w:sz w:val="14"/>
              </w:rPr>
              <w:t>Country</w:t>
            </w:r>
          </w:p>
        </w:tc>
        <w:tc>
          <w:tcPr>
            <w:tcW w:w="1051" w:type="dxa"/>
            <w:shd w:val="clear" w:color="auto" w:fill="E0EBEF"/>
            <w:vAlign w:val="center"/>
          </w:tcPr>
          <w:p w14:paraId="7BE659D1"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b/>
                <w:color w:val="222E38"/>
                <w:sz w:val="14"/>
              </w:rPr>
              <w:t>Funder</w:t>
            </w:r>
          </w:p>
        </w:tc>
        <w:tc>
          <w:tcPr>
            <w:tcW w:w="1080" w:type="dxa"/>
            <w:shd w:val="clear" w:color="auto" w:fill="E0EBEF"/>
            <w:vAlign w:val="center"/>
          </w:tcPr>
          <w:p w14:paraId="4F109C57" w14:textId="31987E98" w:rsidR="000675F0" w:rsidRPr="000675F0" w:rsidRDefault="00B464DB" w:rsidP="000675F0">
            <w:pPr>
              <w:spacing w:after="20" w:line="240" w:lineRule="auto"/>
              <w:rPr>
                <w:rFonts w:eastAsia="MS Mincho" w:cs="Times New Roman"/>
                <w:color w:val="222E38"/>
                <w:sz w:val="17"/>
              </w:rPr>
            </w:pPr>
            <w:r>
              <w:rPr>
                <w:rFonts w:eastAsia="MS Mincho" w:cs="Times New Roman"/>
                <w:b/>
                <w:color w:val="222E38"/>
                <w:sz w:val="14"/>
              </w:rPr>
              <w:t>Start/end</w:t>
            </w:r>
            <w:r w:rsidR="000675F0" w:rsidRPr="000675F0">
              <w:rPr>
                <w:rFonts w:eastAsia="MS Mincho" w:cs="Times New Roman"/>
                <w:b/>
                <w:color w:val="222E38"/>
                <w:sz w:val="14"/>
              </w:rPr>
              <w:t xml:space="preserve"> dates</w:t>
            </w:r>
          </w:p>
        </w:tc>
        <w:tc>
          <w:tcPr>
            <w:tcW w:w="1325" w:type="dxa"/>
            <w:shd w:val="clear" w:color="auto" w:fill="E0EBEF"/>
            <w:vAlign w:val="center"/>
          </w:tcPr>
          <w:p w14:paraId="4B4A8CE6"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b/>
                <w:color w:val="222E38"/>
                <w:sz w:val="14"/>
              </w:rPr>
              <w:t>Status at cut-off</w:t>
            </w:r>
          </w:p>
        </w:tc>
      </w:tr>
      <w:tr w:rsidR="000675F0" w:rsidRPr="000675F0" w14:paraId="2142A5FF" w14:textId="77777777" w:rsidTr="00210395">
        <w:trPr>
          <w:cantSplit/>
          <w:jc w:val="center"/>
        </w:trPr>
        <w:tc>
          <w:tcPr>
            <w:tcW w:w="2520" w:type="dxa"/>
            <w:vAlign w:val="center"/>
          </w:tcPr>
          <w:p w14:paraId="19FA471A"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Traditional Medicinal Plants Used for Cancer Treatment in Sub-Saharan Africa: A Systematic Review (2026)</w:t>
            </w:r>
          </w:p>
        </w:tc>
        <w:tc>
          <w:tcPr>
            <w:tcW w:w="2160" w:type="dxa"/>
            <w:vAlign w:val="center"/>
          </w:tcPr>
          <w:p w14:paraId="318671EF"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Agricultural Research Council / North-West University</w:t>
            </w:r>
          </w:p>
        </w:tc>
        <w:tc>
          <w:tcPr>
            <w:tcW w:w="1152" w:type="dxa"/>
            <w:vAlign w:val="center"/>
          </w:tcPr>
          <w:p w14:paraId="0DCDAE3A"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South Africa</w:t>
            </w:r>
          </w:p>
        </w:tc>
        <w:tc>
          <w:tcPr>
            <w:tcW w:w="1051" w:type="dxa"/>
            <w:vAlign w:val="center"/>
          </w:tcPr>
          <w:p w14:paraId="26A196BA"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080" w:type="dxa"/>
            <w:vAlign w:val="center"/>
          </w:tcPr>
          <w:p w14:paraId="20202521"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325" w:type="dxa"/>
            <w:vAlign w:val="center"/>
          </w:tcPr>
          <w:p w14:paraId="0C3D2860"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Published; active project not established</w:t>
            </w:r>
          </w:p>
        </w:tc>
      </w:tr>
      <w:tr w:rsidR="000675F0" w:rsidRPr="000675F0" w14:paraId="291C775A" w14:textId="77777777" w:rsidTr="00210395">
        <w:trPr>
          <w:cantSplit/>
          <w:jc w:val="center"/>
        </w:trPr>
        <w:tc>
          <w:tcPr>
            <w:tcW w:w="2520" w:type="dxa"/>
            <w:shd w:val="clear" w:color="auto" w:fill="F5F8F9"/>
            <w:vAlign w:val="center"/>
          </w:tcPr>
          <w:p w14:paraId="14E6E72E"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Tangeretin offers neuroprotection against colchicine-induced memory impairment in Wistar rats (2025)</w:t>
            </w:r>
          </w:p>
        </w:tc>
        <w:tc>
          <w:tcPr>
            <w:tcW w:w="2160" w:type="dxa"/>
            <w:shd w:val="clear" w:color="auto" w:fill="F5F8F9"/>
            <w:vAlign w:val="center"/>
          </w:tcPr>
          <w:p w14:paraId="793F8462"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Durban University of Technology; Taif University; King Abdulaziz University</w:t>
            </w:r>
          </w:p>
        </w:tc>
        <w:tc>
          <w:tcPr>
            <w:tcW w:w="1152" w:type="dxa"/>
            <w:shd w:val="clear" w:color="auto" w:fill="F5F8F9"/>
            <w:vAlign w:val="center"/>
          </w:tcPr>
          <w:p w14:paraId="14C6980B"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South Africa; Saudi Arabia</w:t>
            </w:r>
          </w:p>
        </w:tc>
        <w:tc>
          <w:tcPr>
            <w:tcW w:w="1051" w:type="dxa"/>
            <w:shd w:val="clear" w:color="auto" w:fill="F5F8F9"/>
            <w:vAlign w:val="center"/>
          </w:tcPr>
          <w:p w14:paraId="21C39BF7"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080" w:type="dxa"/>
            <w:shd w:val="clear" w:color="auto" w:fill="F5F8F9"/>
            <w:vAlign w:val="center"/>
          </w:tcPr>
          <w:p w14:paraId="68430E85"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325" w:type="dxa"/>
            <w:shd w:val="clear" w:color="auto" w:fill="F5F8F9"/>
            <w:vAlign w:val="center"/>
          </w:tcPr>
          <w:p w14:paraId="6F910291"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Published; active project not established</w:t>
            </w:r>
          </w:p>
        </w:tc>
      </w:tr>
      <w:tr w:rsidR="000675F0" w:rsidRPr="000675F0" w14:paraId="2B28CD88" w14:textId="77777777" w:rsidTr="00210395">
        <w:trPr>
          <w:cantSplit/>
          <w:jc w:val="center"/>
        </w:trPr>
        <w:tc>
          <w:tcPr>
            <w:tcW w:w="2520" w:type="dxa"/>
            <w:vAlign w:val="center"/>
          </w:tcPr>
          <w:p w14:paraId="441B8924"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Chemical constituents and antioxidant potential of African fruits (2024)</w:t>
            </w:r>
          </w:p>
        </w:tc>
        <w:tc>
          <w:tcPr>
            <w:tcW w:w="2160" w:type="dxa"/>
            <w:vAlign w:val="center"/>
          </w:tcPr>
          <w:p w14:paraId="6F6914EC" w14:textId="5BAA6081"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 xml:space="preserve">University of Limpopo </w:t>
            </w:r>
          </w:p>
        </w:tc>
        <w:tc>
          <w:tcPr>
            <w:tcW w:w="1152" w:type="dxa"/>
            <w:vAlign w:val="center"/>
          </w:tcPr>
          <w:p w14:paraId="2D54A2B0"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South Africa</w:t>
            </w:r>
          </w:p>
        </w:tc>
        <w:tc>
          <w:tcPr>
            <w:tcW w:w="1051" w:type="dxa"/>
            <w:vAlign w:val="center"/>
          </w:tcPr>
          <w:p w14:paraId="22F204A5"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080" w:type="dxa"/>
            <w:vAlign w:val="center"/>
          </w:tcPr>
          <w:p w14:paraId="39A8E517"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325" w:type="dxa"/>
            <w:vAlign w:val="center"/>
          </w:tcPr>
          <w:p w14:paraId="1F697135"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Published; active project not established</w:t>
            </w:r>
          </w:p>
        </w:tc>
      </w:tr>
      <w:tr w:rsidR="000675F0" w:rsidRPr="000675F0" w14:paraId="0D149D2D" w14:textId="77777777" w:rsidTr="00210395">
        <w:trPr>
          <w:cantSplit/>
          <w:jc w:val="center"/>
        </w:trPr>
        <w:tc>
          <w:tcPr>
            <w:tcW w:w="2520" w:type="dxa"/>
            <w:shd w:val="clear" w:color="auto" w:fill="F5F8F9"/>
            <w:vAlign w:val="center"/>
          </w:tcPr>
          <w:p w14:paraId="576194A0"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Beet leaf extract attenuates iron-induced testicular toxicity: experimental and computational approach (2023)</w:t>
            </w:r>
          </w:p>
        </w:tc>
        <w:tc>
          <w:tcPr>
            <w:tcW w:w="2160" w:type="dxa"/>
            <w:shd w:val="clear" w:color="auto" w:fill="F5F8F9"/>
            <w:vAlign w:val="center"/>
          </w:tcPr>
          <w:p w14:paraId="558F9D22"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University of the Western Cape / NITheCS</w:t>
            </w:r>
          </w:p>
        </w:tc>
        <w:tc>
          <w:tcPr>
            <w:tcW w:w="1152" w:type="dxa"/>
            <w:shd w:val="clear" w:color="auto" w:fill="F5F8F9"/>
            <w:vAlign w:val="center"/>
          </w:tcPr>
          <w:p w14:paraId="018C077C"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South Africa</w:t>
            </w:r>
          </w:p>
        </w:tc>
        <w:tc>
          <w:tcPr>
            <w:tcW w:w="1051" w:type="dxa"/>
            <w:shd w:val="clear" w:color="auto" w:fill="F5F8F9"/>
            <w:vAlign w:val="center"/>
          </w:tcPr>
          <w:p w14:paraId="7407C343"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080" w:type="dxa"/>
            <w:shd w:val="clear" w:color="auto" w:fill="F5F8F9"/>
            <w:vAlign w:val="center"/>
          </w:tcPr>
          <w:p w14:paraId="68DAC96A"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325" w:type="dxa"/>
            <w:shd w:val="clear" w:color="auto" w:fill="F5F8F9"/>
            <w:vAlign w:val="center"/>
          </w:tcPr>
          <w:p w14:paraId="2C6DD86D"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Published; active project not established</w:t>
            </w:r>
          </w:p>
        </w:tc>
      </w:tr>
      <w:tr w:rsidR="000675F0" w:rsidRPr="000675F0" w14:paraId="4C363F55" w14:textId="77777777" w:rsidTr="00210395">
        <w:trPr>
          <w:cantSplit/>
          <w:jc w:val="center"/>
        </w:trPr>
        <w:tc>
          <w:tcPr>
            <w:tcW w:w="2520" w:type="dxa"/>
            <w:vAlign w:val="center"/>
          </w:tcPr>
          <w:p w14:paraId="6ADE7713"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Antimalarial phytochemicals as potential inhibitors of SARS-CoV-2 guanine N7-methyltransferase (2022)</w:t>
            </w:r>
          </w:p>
        </w:tc>
        <w:tc>
          <w:tcPr>
            <w:tcW w:w="2160" w:type="dxa"/>
            <w:vAlign w:val="center"/>
          </w:tcPr>
          <w:p w14:paraId="738B08CA"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Universidad Católica de Murcia; Damanhour University</w:t>
            </w:r>
          </w:p>
        </w:tc>
        <w:tc>
          <w:tcPr>
            <w:tcW w:w="1152" w:type="dxa"/>
            <w:vAlign w:val="center"/>
          </w:tcPr>
          <w:p w14:paraId="37DD1502"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Spain; Egypt</w:t>
            </w:r>
          </w:p>
        </w:tc>
        <w:tc>
          <w:tcPr>
            <w:tcW w:w="1051" w:type="dxa"/>
            <w:vAlign w:val="center"/>
          </w:tcPr>
          <w:p w14:paraId="377BCFA9"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080" w:type="dxa"/>
            <w:vAlign w:val="center"/>
          </w:tcPr>
          <w:p w14:paraId="23DA4962"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325" w:type="dxa"/>
            <w:vAlign w:val="center"/>
          </w:tcPr>
          <w:p w14:paraId="083DF6EB"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Published; active project not established</w:t>
            </w:r>
          </w:p>
        </w:tc>
      </w:tr>
      <w:tr w:rsidR="000675F0" w:rsidRPr="000675F0" w14:paraId="4B98551F" w14:textId="77777777" w:rsidTr="00210395">
        <w:trPr>
          <w:cantSplit/>
          <w:jc w:val="center"/>
        </w:trPr>
        <w:tc>
          <w:tcPr>
            <w:tcW w:w="2520" w:type="dxa"/>
            <w:shd w:val="clear" w:color="auto" w:fill="F5F8F9"/>
            <w:vAlign w:val="center"/>
          </w:tcPr>
          <w:p w14:paraId="58286EED"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Spondias mombin quercetin-rich fraction and brain responses to dichlorvos toxicity (2022)</w:t>
            </w:r>
          </w:p>
        </w:tc>
        <w:tc>
          <w:tcPr>
            <w:tcW w:w="2160" w:type="dxa"/>
            <w:shd w:val="clear" w:color="auto" w:fill="F5F8F9"/>
            <w:vAlign w:val="center"/>
          </w:tcPr>
          <w:p w14:paraId="22346C24"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Damanhour University; Taif University; French research affiliation</w:t>
            </w:r>
          </w:p>
        </w:tc>
        <w:tc>
          <w:tcPr>
            <w:tcW w:w="1152" w:type="dxa"/>
            <w:shd w:val="clear" w:color="auto" w:fill="F5F8F9"/>
            <w:vAlign w:val="center"/>
          </w:tcPr>
          <w:p w14:paraId="50256616"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Egypt; Saudi Arabia; France</w:t>
            </w:r>
          </w:p>
        </w:tc>
        <w:tc>
          <w:tcPr>
            <w:tcW w:w="1051" w:type="dxa"/>
            <w:shd w:val="clear" w:color="auto" w:fill="F5F8F9"/>
            <w:vAlign w:val="center"/>
          </w:tcPr>
          <w:p w14:paraId="45CA3EFF"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080" w:type="dxa"/>
            <w:shd w:val="clear" w:color="auto" w:fill="F5F8F9"/>
            <w:vAlign w:val="center"/>
          </w:tcPr>
          <w:p w14:paraId="7ADF90C7"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Not documented</w:t>
            </w:r>
          </w:p>
        </w:tc>
        <w:tc>
          <w:tcPr>
            <w:tcW w:w="1325" w:type="dxa"/>
            <w:shd w:val="clear" w:color="auto" w:fill="F5F8F9"/>
            <w:vAlign w:val="center"/>
          </w:tcPr>
          <w:p w14:paraId="6DC221D2" w14:textId="77777777" w:rsidR="000675F0" w:rsidRPr="000675F0" w:rsidRDefault="000675F0" w:rsidP="000675F0">
            <w:pPr>
              <w:spacing w:after="20" w:line="240" w:lineRule="auto"/>
              <w:rPr>
                <w:rFonts w:eastAsia="MS Mincho" w:cs="Times New Roman"/>
                <w:color w:val="222E38"/>
                <w:sz w:val="17"/>
              </w:rPr>
            </w:pPr>
            <w:r w:rsidRPr="000675F0">
              <w:rPr>
                <w:rFonts w:eastAsia="MS Mincho" w:cs="Times New Roman"/>
                <w:color w:val="222E38"/>
                <w:sz w:val="14"/>
              </w:rPr>
              <w:t>Published; active project not established</w:t>
            </w:r>
          </w:p>
        </w:tc>
      </w:tr>
    </w:tbl>
    <w:p w14:paraId="2E066C64" w14:textId="77777777" w:rsidR="000675F0" w:rsidRPr="000675F0" w:rsidRDefault="000675F0" w:rsidP="000675F0">
      <w:pPr>
        <w:spacing w:after="0"/>
        <w:rPr>
          <w:rFonts w:eastAsia="MS Mincho" w:cs="Times New Roman"/>
          <w:color w:val="222E38"/>
          <w:sz w:val="17"/>
        </w:rPr>
      </w:pPr>
    </w:p>
    <w:p w14:paraId="477901E8" w14:textId="77777777" w:rsidR="000675F0" w:rsidRPr="000675F0" w:rsidRDefault="000675F0" w:rsidP="000675F0">
      <w:pPr>
        <w:spacing w:after="60"/>
        <w:rPr>
          <w:rFonts w:eastAsia="MS Mincho" w:cs="Times New Roman"/>
          <w:color w:val="222E38"/>
          <w:sz w:val="17"/>
        </w:rPr>
      </w:pPr>
      <w:r w:rsidRPr="000675F0">
        <w:rPr>
          <w:rFonts w:eastAsia="MS Mincho" w:cs="Times New Roman"/>
          <w:color w:val="222E38"/>
          <w:sz w:val="17"/>
        </w:rPr>
        <w:t>Publication DOI links for these six studies appear in Schedules A and B. “Not documented” means that the provided bibliography does not establish these fields; it should not be read as proof of an unfunded study or as a zero active-project count.</w:t>
      </w:r>
    </w:p>
    <w:p w14:paraId="380CB34C" w14:textId="77777777" w:rsidR="005E796D" w:rsidRDefault="005E796D">
      <w:pPr>
        <w:spacing w:after="160" w:line="278" w:lineRule="auto"/>
        <w:rPr>
          <w:rFonts w:ascii="Calibri" w:eastAsia="MS Gothic" w:hAnsi="Calibri" w:cs="Times New Roman"/>
          <w:b/>
          <w:bCs/>
          <w:color w:val="193F55"/>
          <w:sz w:val="23"/>
          <w:szCs w:val="28"/>
        </w:rPr>
      </w:pPr>
      <w:r>
        <w:rPr>
          <w:rFonts w:ascii="Calibri" w:eastAsia="MS Gothic" w:hAnsi="Calibri" w:cs="Times New Roman"/>
          <w:b/>
          <w:bCs/>
          <w:color w:val="193F55"/>
          <w:sz w:val="23"/>
          <w:szCs w:val="28"/>
        </w:rPr>
        <w:br w:type="page"/>
      </w:r>
    </w:p>
    <w:p w14:paraId="41B2CD5D" w14:textId="2604E5AC" w:rsidR="000675F0" w:rsidRPr="007F5854" w:rsidRDefault="000675F0" w:rsidP="007F5854">
      <w:pPr>
        <w:keepNext/>
        <w:keepLines/>
        <w:spacing w:before="160" w:after="80"/>
        <w:outlineLvl w:val="0"/>
        <w:rPr>
          <w:rFonts w:ascii="Calibri" w:eastAsia="MS Gothic" w:hAnsi="Calibri" w:cs="Times New Roman"/>
          <w:b/>
          <w:bCs/>
          <w:color w:val="193F55"/>
          <w:sz w:val="23"/>
          <w:szCs w:val="28"/>
        </w:rPr>
      </w:pPr>
      <w:r w:rsidRPr="000675F0">
        <w:rPr>
          <w:rFonts w:ascii="Calibri" w:eastAsia="MS Gothic" w:hAnsi="Calibri" w:cs="Times New Roman"/>
          <w:b/>
          <w:bCs/>
          <w:color w:val="193F55"/>
          <w:sz w:val="23"/>
          <w:szCs w:val="28"/>
        </w:rPr>
        <w:lastRenderedPageBreak/>
        <w:t>Published international coauthors and affiliations</w:t>
      </w:r>
    </w:p>
    <w:tbl>
      <w:tblPr>
        <w:tblStyle w:val="TableGrid"/>
        <w:tblW w:w="0" w:type="auto"/>
        <w:jc w:val="center"/>
        <w:tblLayout w:type="fixed"/>
        <w:tblLook w:val="04A0" w:firstRow="1" w:lastRow="0" w:firstColumn="1" w:lastColumn="0" w:noHBand="0" w:noVBand="1"/>
      </w:tblPr>
      <w:tblGrid>
        <w:gridCol w:w="1498"/>
        <w:gridCol w:w="2563"/>
        <w:gridCol w:w="4248"/>
      </w:tblGrid>
      <w:tr w:rsidR="007F5854" w:rsidRPr="000675F0" w14:paraId="6BB33B7D" w14:textId="77777777" w:rsidTr="00210395">
        <w:trPr>
          <w:cantSplit/>
          <w:tblHeader/>
          <w:jc w:val="center"/>
        </w:trPr>
        <w:tc>
          <w:tcPr>
            <w:tcW w:w="1498" w:type="dxa"/>
            <w:shd w:val="clear" w:color="auto" w:fill="E0EBEF"/>
            <w:vAlign w:val="center"/>
          </w:tcPr>
          <w:p w14:paraId="037D3272"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b/>
                <w:color w:val="222E38"/>
                <w:sz w:val="14"/>
              </w:rPr>
              <w:t>Country</w:t>
            </w:r>
          </w:p>
        </w:tc>
        <w:tc>
          <w:tcPr>
            <w:tcW w:w="2563" w:type="dxa"/>
            <w:shd w:val="clear" w:color="auto" w:fill="E0EBEF"/>
            <w:vAlign w:val="center"/>
          </w:tcPr>
          <w:p w14:paraId="7504E1BA"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b/>
                <w:color w:val="222E38"/>
                <w:sz w:val="14"/>
              </w:rPr>
              <w:t>Published coauthor(s)</w:t>
            </w:r>
          </w:p>
        </w:tc>
        <w:tc>
          <w:tcPr>
            <w:tcW w:w="4248" w:type="dxa"/>
            <w:shd w:val="clear" w:color="auto" w:fill="E0EBEF"/>
            <w:vAlign w:val="center"/>
          </w:tcPr>
          <w:p w14:paraId="5754A41D"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b/>
                <w:color w:val="222E38"/>
                <w:sz w:val="14"/>
              </w:rPr>
              <w:t>Institution / article-level affiliation</w:t>
            </w:r>
          </w:p>
        </w:tc>
      </w:tr>
      <w:tr w:rsidR="007F5854" w:rsidRPr="000675F0" w14:paraId="73A3668B" w14:textId="77777777" w:rsidTr="00210395">
        <w:trPr>
          <w:cantSplit/>
          <w:jc w:val="center"/>
        </w:trPr>
        <w:tc>
          <w:tcPr>
            <w:tcW w:w="1498" w:type="dxa"/>
            <w:vAlign w:val="center"/>
          </w:tcPr>
          <w:p w14:paraId="55FE193A"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Spain</w:t>
            </w:r>
          </w:p>
        </w:tc>
        <w:tc>
          <w:tcPr>
            <w:tcW w:w="2563" w:type="dxa"/>
            <w:vAlign w:val="center"/>
          </w:tcPr>
          <w:p w14:paraId="101AB8CA"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A. Rodríguez-Martínez; J. F. López-Pastor; A. J. Banegas-Luna; H. Pérez-Sánchez</w:t>
            </w:r>
          </w:p>
        </w:tc>
        <w:tc>
          <w:tcPr>
            <w:tcW w:w="4248" w:type="dxa"/>
            <w:vAlign w:val="center"/>
          </w:tcPr>
          <w:p w14:paraId="6C2FD461"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Universidad Católica de Murcia (BIO-HPC)</w:t>
            </w:r>
          </w:p>
        </w:tc>
      </w:tr>
      <w:tr w:rsidR="007F5854" w:rsidRPr="000675F0" w14:paraId="2D6D73F1" w14:textId="77777777" w:rsidTr="00210395">
        <w:trPr>
          <w:cantSplit/>
          <w:jc w:val="center"/>
        </w:trPr>
        <w:tc>
          <w:tcPr>
            <w:tcW w:w="1498" w:type="dxa"/>
            <w:shd w:val="clear" w:color="auto" w:fill="F5F8F9"/>
            <w:vAlign w:val="center"/>
          </w:tcPr>
          <w:p w14:paraId="5EA1C94C"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Egypt</w:t>
            </w:r>
          </w:p>
        </w:tc>
        <w:tc>
          <w:tcPr>
            <w:tcW w:w="2563" w:type="dxa"/>
            <w:shd w:val="clear" w:color="auto" w:fill="F5F8F9"/>
            <w:vAlign w:val="center"/>
          </w:tcPr>
          <w:p w14:paraId="7FB4619D"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I. M. Ibrahim; A. A. Elfiky</w:t>
            </w:r>
          </w:p>
        </w:tc>
        <w:tc>
          <w:tcPr>
            <w:tcW w:w="4248" w:type="dxa"/>
            <w:shd w:val="clear" w:color="auto" w:fill="F5F8F9"/>
            <w:vAlign w:val="center"/>
          </w:tcPr>
          <w:p w14:paraId="4611D1A6"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Cairo University</w:t>
            </w:r>
          </w:p>
        </w:tc>
      </w:tr>
      <w:tr w:rsidR="007F5854" w:rsidRPr="000675F0" w14:paraId="6A9399F4" w14:textId="77777777" w:rsidTr="00210395">
        <w:trPr>
          <w:cantSplit/>
          <w:jc w:val="center"/>
        </w:trPr>
        <w:tc>
          <w:tcPr>
            <w:tcW w:w="1498" w:type="dxa"/>
            <w:vAlign w:val="center"/>
          </w:tcPr>
          <w:p w14:paraId="5B05A0DE"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Egypt</w:t>
            </w:r>
          </w:p>
        </w:tc>
        <w:tc>
          <w:tcPr>
            <w:tcW w:w="2563" w:type="dxa"/>
            <w:vAlign w:val="center"/>
          </w:tcPr>
          <w:p w14:paraId="01F946F5"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G. El-Saber Batiha</w:t>
            </w:r>
          </w:p>
        </w:tc>
        <w:tc>
          <w:tcPr>
            <w:tcW w:w="4248" w:type="dxa"/>
            <w:vAlign w:val="center"/>
          </w:tcPr>
          <w:p w14:paraId="5323E478"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Damanhour University</w:t>
            </w:r>
          </w:p>
        </w:tc>
      </w:tr>
      <w:tr w:rsidR="007F5854" w:rsidRPr="000675F0" w14:paraId="689D3478" w14:textId="77777777" w:rsidTr="00210395">
        <w:trPr>
          <w:cantSplit/>
          <w:jc w:val="center"/>
        </w:trPr>
        <w:tc>
          <w:tcPr>
            <w:tcW w:w="1498" w:type="dxa"/>
            <w:shd w:val="clear" w:color="auto" w:fill="F5F8F9"/>
            <w:vAlign w:val="center"/>
          </w:tcPr>
          <w:p w14:paraId="3B8626BE"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South Africa</w:t>
            </w:r>
          </w:p>
        </w:tc>
        <w:tc>
          <w:tcPr>
            <w:tcW w:w="2563" w:type="dxa"/>
            <w:shd w:val="clear" w:color="auto" w:fill="F5F8F9"/>
            <w:vAlign w:val="center"/>
          </w:tcPr>
          <w:p w14:paraId="24891F97"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B. O. Oyeyinka</w:t>
            </w:r>
          </w:p>
        </w:tc>
        <w:tc>
          <w:tcPr>
            <w:tcW w:w="4248" w:type="dxa"/>
            <w:shd w:val="clear" w:color="auto" w:fill="F5F8F9"/>
            <w:vAlign w:val="center"/>
          </w:tcPr>
          <w:p w14:paraId="3B8DB228"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University of Fort Hare</w:t>
            </w:r>
          </w:p>
        </w:tc>
      </w:tr>
      <w:tr w:rsidR="007F5854" w:rsidRPr="000675F0" w14:paraId="1BF30EBE" w14:textId="77777777" w:rsidTr="00210395">
        <w:trPr>
          <w:cantSplit/>
          <w:jc w:val="center"/>
        </w:trPr>
        <w:tc>
          <w:tcPr>
            <w:tcW w:w="1498" w:type="dxa"/>
            <w:vAlign w:val="center"/>
          </w:tcPr>
          <w:p w14:paraId="71F2C0D9"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South Africa</w:t>
            </w:r>
          </w:p>
        </w:tc>
        <w:tc>
          <w:tcPr>
            <w:tcW w:w="2563" w:type="dxa"/>
            <w:vAlign w:val="center"/>
          </w:tcPr>
          <w:p w14:paraId="08DD3C32"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A. I. Odugbemi; S. A. Egieyeh</w:t>
            </w:r>
          </w:p>
        </w:tc>
        <w:tc>
          <w:tcPr>
            <w:tcW w:w="4248" w:type="dxa"/>
            <w:vAlign w:val="center"/>
          </w:tcPr>
          <w:p w14:paraId="2A5B0B47"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University of the Western Cape / NITheCS</w:t>
            </w:r>
          </w:p>
        </w:tc>
      </w:tr>
      <w:tr w:rsidR="007F5854" w:rsidRPr="000675F0" w14:paraId="4F58960F" w14:textId="77777777" w:rsidTr="00210395">
        <w:trPr>
          <w:cantSplit/>
          <w:jc w:val="center"/>
        </w:trPr>
        <w:tc>
          <w:tcPr>
            <w:tcW w:w="1498" w:type="dxa"/>
            <w:shd w:val="clear" w:color="auto" w:fill="F5F8F9"/>
            <w:vAlign w:val="center"/>
          </w:tcPr>
          <w:p w14:paraId="568954B5"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South Africa</w:t>
            </w:r>
          </w:p>
        </w:tc>
        <w:tc>
          <w:tcPr>
            <w:tcW w:w="2563" w:type="dxa"/>
            <w:shd w:val="clear" w:color="auto" w:fill="F5F8F9"/>
            <w:vAlign w:val="center"/>
          </w:tcPr>
          <w:p w14:paraId="6D8391BF"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K. R. Rengasamy</w:t>
            </w:r>
          </w:p>
        </w:tc>
        <w:tc>
          <w:tcPr>
            <w:tcW w:w="4248" w:type="dxa"/>
            <w:shd w:val="clear" w:color="auto" w:fill="F5F8F9"/>
            <w:vAlign w:val="center"/>
          </w:tcPr>
          <w:p w14:paraId="6B7B3F1A"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University of Limpopo (indexed; to confirm)</w:t>
            </w:r>
          </w:p>
        </w:tc>
      </w:tr>
      <w:tr w:rsidR="007F5854" w:rsidRPr="000675F0" w14:paraId="35465311" w14:textId="77777777" w:rsidTr="00210395">
        <w:trPr>
          <w:cantSplit/>
          <w:jc w:val="center"/>
        </w:trPr>
        <w:tc>
          <w:tcPr>
            <w:tcW w:w="1498" w:type="dxa"/>
            <w:vAlign w:val="center"/>
          </w:tcPr>
          <w:p w14:paraId="148197E4"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South Africa</w:t>
            </w:r>
          </w:p>
        </w:tc>
        <w:tc>
          <w:tcPr>
            <w:tcW w:w="2563" w:type="dxa"/>
            <w:vAlign w:val="center"/>
          </w:tcPr>
          <w:p w14:paraId="4AACC285"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G. A. Gyebi</w:t>
            </w:r>
          </w:p>
        </w:tc>
        <w:tc>
          <w:tcPr>
            <w:tcW w:w="4248" w:type="dxa"/>
            <w:vAlign w:val="center"/>
          </w:tcPr>
          <w:p w14:paraId="60AF4719"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Durban University of Technology (2025 paper)</w:t>
            </w:r>
          </w:p>
        </w:tc>
      </w:tr>
      <w:tr w:rsidR="007F5854" w:rsidRPr="000675F0" w14:paraId="33C5879D" w14:textId="77777777" w:rsidTr="00210395">
        <w:trPr>
          <w:cantSplit/>
          <w:jc w:val="center"/>
        </w:trPr>
        <w:tc>
          <w:tcPr>
            <w:tcW w:w="1498" w:type="dxa"/>
            <w:shd w:val="clear" w:color="auto" w:fill="F5F8F9"/>
            <w:vAlign w:val="center"/>
          </w:tcPr>
          <w:p w14:paraId="65ED73C3"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South Africa</w:t>
            </w:r>
          </w:p>
        </w:tc>
        <w:tc>
          <w:tcPr>
            <w:tcW w:w="2563" w:type="dxa"/>
            <w:shd w:val="clear" w:color="auto" w:fill="F5F8F9"/>
            <w:vAlign w:val="center"/>
          </w:tcPr>
          <w:p w14:paraId="617EEFB5"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T. L. Adetunji; S. O. Amoo</w:t>
            </w:r>
          </w:p>
        </w:tc>
        <w:tc>
          <w:tcPr>
            <w:tcW w:w="4248" w:type="dxa"/>
            <w:shd w:val="clear" w:color="auto" w:fill="F5F8F9"/>
            <w:vAlign w:val="center"/>
          </w:tcPr>
          <w:p w14:paraId="5DBED3DC"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Agricultural Research Council / North-West University</w:t>
            </w:r>
          </w:p>
        </w:tc>
      </w:tr>
      <w:tr w:rsidR="007F5854" w:rsidRPr="000675F0" w14:paraId="0DEC1228" w14:textId="77777777" w:rsidTr="00210395">
        <w:trPr>
          <w:cantSplit/>
          <w:jc w:val="center"/>
        </w:trPr>
        <w:tc>
          <w:tcPr>
            <w:tcW w:w="1498" w:type="dxa"/>
            <w:vAlign w:val="center"/>
          </w:tcPr>
          <w:p w14:paraId="3BF05E63"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Saudi Arabia</w:t>
            </w:r>
          </w:p>
        </w:tc>
        <w:tc>
          <w:tcPr>
            <w:tcW w:w="2563" w:type="dxa"/>
            <w:vAlign w:val="center"/>
          </w:tcPr>
          <w:p w14:paraId="0F61D954"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 S. Alotaibi; S. M. Albogami</w:t>
            </w:r>
          </w:p>
        </w:tc>
        <w:tc>
          <w:tcPr>
            <w:tcW w:w="4248" w:type="dxa"/>
            <w:vAlign w:val="center"/>
          </w:tcPr>
          <w:p w14:paraId="37DB2B6E"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Taif University</w:t>
            </w:r>
          </w:p>
        </w:tc>
      </w:tr>
      <w:tr w:rsidR="007F5854" w:rsidRPr="000675F0" w14:paraId="6D4512D8" w14:textId="77777777" w:rsidTr="00210395">
        <w:trPr>
          <w:cantSplit/>
          <w:jc w:val="center"/>
        </w:trPr>
        <w:tc>
          <w:tcPr>
            <w:tcW w:w="1498" w:type="dxa"/>
            <w:shd w:val="clear" w:color="auto" w:fill="F5F8F9"/>
            <w:vAlign w:val="center"/>
          </w:tcPr>
          <w:p w14:paraId="3481484C"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Saudi Arabia</w:t>
            </w:r>
          </w:p>
        </w:tc>
        <w:tc>
          <w:tcPr>
            <w:tcW w:w="2563" w:type="dxa"/>
            <w:shd w:val="clear" w:color="auto" w:fill="F5F8F9"/>
            <w:vAlign w:val="center"/>
          </w:tcPr>
          <w:p w14:paraId="5EBF5530"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B. S. Alotaibi</w:t>
            </w:r>
          </w:p>
        </w:tc>
        <w:tc>
          <w:tcPr>
            <w:tcW w:w="4248" w:type="dxa"/>
            <w:shd w:val="clear" w:color="auto" w:fill="F5F8F9"/>
            <w:vAlign w:val="center"/>
          </w:tcPr>
          <w:p w14:paraId="6D33FA83"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Princess Nourah bint Abdulrahman University</w:t>
            </w:r>
          </w:p>
        </w:tc>
      </w:tr>
      <w:tr w:rsidR="007F5854" w:rsidRPr="000675F0" w14:paraId="1731B6F0" w14:textId="77777777" w:rsidTr="00210395">
        <w:trPr>
          <w:cantSplit/>
          <w:jc w:val="center"/>
        </w:trPr>
        <w:tc>
          <w:tcPr>
            <w:tcW w:w="1498" w:type="dxa"/>
            <w:vAlign w:val="center"/>
          </w:tcPr>
          <w:p w14:paraId="0DF0D797"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Saudi Arabia</w:t>
            </w:r>
          </w:p>
        </w:tc>
        <w:tc>
          <w:tcPr>
            <w:tcW w:w="2563" w:type="dxa"/>
            <w:vAlign w:val="center"/>
          </w:tcPr>
          <w:p w14:paraId="6B8B7DB7"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A. Turkistani; A. H. Almehmadi</w:t>
            </w:r>
          </w:p>
        </w:tc>
        <w:tc>
          <w:tcPr>
            <w:tcW w:w="4248" w:type="dxa"/>
            <w:vAlign w:val="center"/>
          </w:tcPr>
          <w:p w14:paraId="6162C8B8"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Taif University / King Abdulaziz University</w:t>
            </w:r>
          </w:p>
        </w:tc>
      </w:tr>
      <w:tr w:rsidR="007F5854" w:rsidRPr="000675F0" w14:paraId="720E5A5F" w14:textId="77777777" w:rsidTr="00210395">
        <w:trPr>
          <w:cantSplit/>
          <w:jc w:val="center"/>
        </w:trPr>
        <w:tc>
          <w:tcPr>
            <w:tcW w:w="1498" w:type="dxa"/>
            <w:shd w:val="clear" w:color="auto" w:fill="F5F8F9"/>
            <w:vAlign w:val="center"/>
          </w:tcPr>
          <w:p w14:paraId="6943C0B8"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France</w:t>
            </w:r>
          </w:p>
        </w:tc>
        <w:tc>
          <w:tcPr>
            <w:tcW w:w="2563" w:type="dxa"/>
            <w:shd w:val="clear" w:color="auto" w:fill="F5F8F9"/>
            <w:vAlign w:val="center"/>
          </w:tcPr>
          <w:p w14:paraId="67454123"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M. De Waard</w:t>
            </w:r>
          </w:p>
        </w:tc>
        <w:tc>
          <w:tcPr>
            <w:tcW w:w="4248" w:type="dxa"/>
            <w:shd w:val="clear" w:color="auto" w:fill="F5F8F9"/>
            <w:vAlign w:val="center"/>
          </w:tcPr>
          <w:p w14:paraId="66E0C3F0"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French research affiliations (CNRS/INSERM)</w:t>
            </w:r>
          </w:p>
        </w:tc>
      </w:tr>
      <w:tr w:rsidR="007F5854" w:rsidRPr="000675F0" w14:paraId="7327954A" w14:textId="77777777" w:rsidTr="00210395">
        <w:trPr>
          <w:cantSplit/>
          <w:jc w:val="center"/>
        </w:trPr>
        <w:tc>
          <w:tcPr>
            <w:tcW w:w="1498" w:type="dxa"/>
            <w:vAlign w:val="center"/>
          </w:tcPr>
          <w:p w14:paraId="2BADDE4E"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India</w:t>
            </w:r>
          </w:p>
        </w:tc>
        <w:tc>
          <w:tcPr>
            <w:tcW w:w="2563" w:type="dxa"/>
            <w:vAlign w:val="center"/>
          </w:tcPr>
          <w:p w14:paraId="48363079"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K. Saravanan; S. Elavarsi; G. Revathi</w:t>
            </w:r>
          </w:p>
        </w:tc>
        <w:tc>
          <w:tcPr>
            <w:tcW w:w="4248" w:type="dxa"/>
            <w:vAlign w:val="center"/>
          </w:tcPr>
          <w:p w14:paraId="61EE7F80"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Indian academic institutions (as stated by publisher)</w:t>
            </w:r>
          </w:p>
        </w:tc>
      </w:tr>
      <w:tr w:rsidR="007F5854" w:rsidRPr="000675F0" w14:paraId="2829F01F" w14:textId="77777777" w:rsidTr="00210395">
        <w:trPr>
          <w:cantSplit/>
          <w:jc w:val="center"/>
        </w:trPr>
        <w:tc>
          <w:tcPr>
            <w:tcW w:w="1498" w:type="dxa"/>
            <w:shd w:val="clear" w:color="auto" w:fill="F5F8F9"/>
            <w:vAlign w:val="center"/>
          </w:tcPr>
          <w:p w14:paraId="50971BE9"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Türkiye / UAE</w:t>
            </w:r>
          </w:p>
        </w:tc>
        <w:tc>
          <w:tcPr>
            <w:tcW w:w="2563" w:type="dxa"/>
            <w:shd w:val="clear" w:color="auto" w:fill="F5F8F9"/>
            <w:vAlign w:val="center"/>
          </w:tcPr>
          <w:p w14:paraId="5016A65D"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D. U. Ozsahin</w:t>
            </w:r>
          </w:p>
        </w:tc>
        <w:tc>
          <w:tcPr>
            <w:tcW w:w="4248" w:type="dxa"/>
            <w:shd w:val="clear" w:color="auto" w:fill="F5F8F9"/>
            <w:vAlign w:val="center"/>
          </w:tcPr>
          <w:p w14:paraId="0FF92D22"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Near East University / University of Sharjah</w:t>
            </w:r>
          </w:p>
        </w:tc>
      </w:tr>
      <w:tr w:rsidR="007F5854" w:rsidRPr="000675F0" w14:paraId="7AC92E64" w14:textId="77777777" w:rsidTr="00210395">
        <w:trPr>
          <w:cantSplit/>
          <w:jc w:val="center"/>
        </w:trPr>
        <w:tc>
          <w:tcPr>
            <w:tcW w:w="1498" w:type="dxa"/>
            <w:vAlign w:val="center"/>
          </w:tcPr>
          <w:p w14:paraId="6BED9BEB"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United Kingdom</w:t>
            </w:r>
          </w:p>
        </w:tc>
        <w:tc>
          <w:tcPr>
            <w:tcW w:w="2563" w:type="dxa"/>
            <w:vAlign w:val="center"/>
          </w:tcPr>
          <w:p w14:paraId="15836B3A"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O. Andrew</w:t>
            </w:r>
          </w:p>
        </w:tc>
        <w:tc>
          <w:tcPr>
            <w:tcW w:w="4248" w:type="dxa"/>
            <w:vAlign w:val="center"/>
          </w:tcPr>
          <w:p w14:paraId="6DB5566D" w14:textId="77777777" w:rsidR="007F5854" w:rsidRPr="000675F0" w:rsidRDefault="007F5854" w:rsidP="000675F0">
            <w:pPr>
              <w:spacing w:after="20" w:line="240" w:lineRule="auto"/>
              <w:rPr>
                <w:rFonts w:eastAsia="MS Mincho" w:cs="Times New Roman"/>
                <w:color w:val="222E38"/>
                <w:sz w:val="17"/>
              </w:rPr>
            </w:pPr>
            <w:r w:rsidRPr="000675F0">
              <w:rPr>
                <w:rFonts w:eastAsia="MS Mincho" w:cs="Times New Roman"/>
                <w:color w:val="222E38"/>
                <w:sz w:val="14"/>
              </w:rPr>
              <w:t>Cranfield University</w:t>
            </w:r>
          </w:p>
        </w:tc>
      </w:tr>
    </w:tbl>
    <w:p w14:paraId="1305A02D" w14:textId="3D1C41F2" w:rsidR="000675F0" w:rsidRPr="000675F0" w:rsidRDefault="007F5854" w:rsidP="000675F0">
      <w:pPr>
        <w:spacing w:after="0"/>
        <w:rPr>
          <w:rFonts w:eastAsia="MS Mincho" w:cs="Times New Roman"/>
          <w:color w:val="222E38"/>
          <w:sz w:val="17"/>
        </w:rPr>
      </w:pPr>
      <w:r w:rsidRPr="007F5854">
        <w:rPr>
          <w:rFonts w:eastAsia="MS Mincho" w:cs="Times New Roman"/>
          <w:color w:val="222E38"/>
          <w:sz w:val="17"/>
        </w:rPr>
        <w:t>Institutional affiliation is attributed to the individual publication concerned rather than inferred from an author's nationality or the country in which a journal is published.</w:t>
      </w:r>
    </w:p>
    <w:p w14:paraId="59DE9CE9" w14:textId="77777777" w:rsidR="000675F0" w:rsidRPr="000675F0" w:rsidRDefault="000675F0" w:rsidP="000675F0">
      <w:pPr>
        <w:keepNext/>
        <w:keepLines/>
        <w:spacing w:before="160" w:after="80"/>
        <w:outlineLvl w:val="0"/>
        <w:rPr>
          <w:rFonts w:ascii="Calibri" w:eastAsia="MS Gothic" w:hAnsi="Calibri" w:cs="Times New Roman"/>
          <w:b/>
          <w:bCs/>
          <w:color w:val="193F55"/>
          <w:sz w:val="23"/>
          <w:szCs w:val="28"/>
        </w:rPr>
      </w:pPr>
      <w:r w:rsidRPr="000675F0">
        <w:rPr>
          <w:rFonts w:ascii="Calibri" w:eastAsia="MS Gothic" w:hAnsi="Calibri" w:cs="Times New Roman"/>
          <w:b/>
          <w:bCs/>
          <w:color w:val="193F55"/>
          <w:sz w:val="23"/>
          <w:szCs w:val="28"/>
        </w:rPr>
        <w:t>3–4. Local/regional industry partnerships and active MoUs</w:t>
      </w:r>
    </w:p>
    <w:p w14:paraId="4C368A2F" w14:textId="22513306" w:rsidR="000675F0" w:rsidRPr="000675F0" w:rsidRDefault="000675F0" w:rsidP="000675F0">
      <w:pPr>
        <w:spacing w:after="60"/>
        <w:rPr>
          <w:rFonts w:eastAsia="MS Mincho" w:cs="Times New Roman"/>
          <w:color w:val="222E38"/>
          <w:sz w:val="17"/>
        </w:rPr>
      </w:pPr>
      <w:r w:rsidRPr="000675F0">
        <w:rPr>
          <w:rFonts w:eastAsia="MS Mincho" w:cs="Times New Roman"/>
          <w:color w:val="222E38"/>
          <w:sz w:val="17"/>
        </w:rPr>
        <w:t xml:space="preserve">My materials establish scholarly engagement with industry-facing university activities, but do not provide sufficient documentary evidence to report a numerical count of active industry partnerships or five active MoUs as of 30 June 2026. </w:t>
      </w:r>
      <w:r w:rsidR="00B464DB">
        <w:rPr>
          <w:rFonts w:eastAsia="MS Mincho" w:cs="Times New Roman"/>
          <w:color w:val="222E38"/>
          <w:sz w:val="17"/>
        </w:rPr>
        <w:t>The appropriate KDU offices should determine these institution-level indicators from signed agreements and effective-date/expiry records</w:t>
      </w:r>
      <w:r w:rsidRPr="000675F0">
        <w:rPr>
          <w:rFonts w:eastAsia="MS Mincho" w:cs="Times New Roman"/>
          <w:color w:val="222E38"/>
          <w:sz w:val="17"/>
        </w:rPr>
        <w:t>.</w:t>
      </w:r>
    </w:p>
    <w:p w14:paraId="63600A5C" w14:textId="77777777" w:rsidR="000675F0" w:rsidRPr="000675F0" w:rsidRDefault="000675F0" w:rsidP="000675F0">
      <w:pPr>
        <w:keepNext/>
        <w:keepLines/>
        <w:spacing w:before="160" w:after="80"/>
        <w:outlineLvl w:val="0"/>
        <w:rPr>
          <w:rFonts w:ascii="Calibri" w:eastAsia="MS Gothic" w:hAnsi="Calibri" w:cs="Times New Roman"/>
          <w:b/>
          <w:bCs/>
          <w:color w:val="193F55"/>
          <w:sz w:val="23"/>
          <w:szCs w:val="28"/>
        </w:rPr>
      </w:pPr>
      <w:r w:rsidRPr="000675F0">
        <w:rPr>
          <w:rFonts w:ascii="Calibri" w:eastAsia="MS Gothic" w:hAnsi="Calibri" w:cs="Times New Roman"/>
          <w:b/>
          <w:bCs/>
          <w:color w:val="193F55"/>
          <w:sz w:val="23"/>
          <w:szCs w:val="28"/>
        </w:rPr>
        <w:t>Schedule A. Coauthored international-journal papers addressing Africa-priority research themes</w:t>
      </w:r>
    </w:p>
    <w:p w14:paraId="767A4ABA" w14:textId="31D54BE3" w:rsidR="000675F0" w:rsidRPr="000675F0" w:rsidRDefault="000675F0" w:rsidP="000675F0">
      <w:pPr>
        <w:spacing w:after="60"/>
        <w:rPr>
          <w:rFonts w:eastAsia="MS Mincho" w:cs="Times New Roman"/>
          <w:color w:val="222E38"/>
          <w:sz w:val="17"/>
        </w:rPr>
      </w:pPr>
      <w:r w:rsidRPr="000675F0">
        <w:rPr>
          <w:rFonts w:eastAsia="MS Mincho" w:cs="Times New Roman"/>
          <w:color w:val="222E38"/>
          <w:sz w:val="17"/>
        </w:rPr>
        <w:t xml:space="preserve">Thirty candidate journal articles, published no later than the specified cut-off according to the working bibliography and the available bibliographic checks. The themes include infectious disease and malaria, traditional medicinal plants, reproductive and neurological health, chronic disease, and toxicological exposures. The 2020 article is retained because the request </w:t>
      </w:r>
      <w:r w:rsidR="00B464DB">
        <w:rPr>
          <w:rFonts w:eastAsia="MS Mincho" w:cs="Times New Roman"/>
          <w:color w:val="222E38"/>
          <w:sz w:val="17"/>
        </w:rPr>
        <w:t>specifies a cut-off date but no</w:t>
      </w:r>
      <w:r w:rsidRPr="000675F0">
        <w:rPr>
          <w:rFonts w:eastAsia="MS Mincho" w:cs="Times New Roman"/>
          <w:color w:val="222E38"/>
          <w:sz w:val="17"/>
        </w:rPr>
        <w:t xml:space="preserve"> lower date boundary.</w:t>
      </w:r>
    </w:p>
    <w:p w14:paraId="4C91C392"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01.  Alkaloids and flavonoids from African phytochemicals as potential inhibitors of SARS-CoV-2 RNA-dependent RNA polymerase: an in-silico perspective (2020). </w:t>
      </w:r>
      <w:r w:rsidRPr="000675F0">
        <w:rPr>
          <w:rFonts w:eastAsia="MS Mincho" w:cs="Times New Roman"/>
          <w:i/>
          <w:color w:val="222E38"/>
          <w:sz w:val="16"/>
        </w:rPr>
        <w:t xml:space="preserve">[Infectious diseases / African phytochemicals]  </w:t>
      </w:r>
      <w:hyperlink r:id="rId8">
        <w:r w:rsidRPr="000675F0">
          <w:rPr>
            <w:rFonts w:eastAsia="MS Mincho" w:cs="Times New Roman"/>
            <w:color w:val="006F87"/>
            <w:sz w:val="17"/>
            <w:u w:val="single"/>
          </w:rPr>
          <w:t>https://doi.org/10.1177/2040206620984076</w:t>
        </w:r>
      </w:hyperlink>
    </w:p>
    <w:p w14:paraId="0F089793"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02.  Antifertility effects of 60 days oral gavage of ethanol extract of Spondias mombin leaves in guinea pigs: a biochemical, reproductive, and histologic-based study (2021). </w:t>
      </w:r>
      <w:r w:rsidRPr="000675F0">
        <w:rPr>
          <w:rFonts w:eastAsia="MS Mincho" w:cs="Times New Roman"/>
          <w:i/>
          <w:color w:val="222E38"/>
          <w:sz w:val="16"/>
        </w:rPr>
        <w:t xml:space="preserve">[Reproductive health / medicinal plants]  </w:t>
      </w:r>
      <w:hyperlink r:id="rId9">
        <w:r w:rsidRPr="000675F0">
          <w:rPr>
            <w:rFonts w:eastAsia="MS Mincho" w:cs="Times New Roman"/>
            <w:color w:val="006F87"/>
            <w:sz w:val="17"/>
            <w:u w:val="single"/>
          </w:rPr>
          <w:t>https://doi.org/10.4103/2305-0500.311609</w:t>
        </w:r>
      </w:hyperlink>
    </w:p>
    <w:p w14:paraId="57ABAC95"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03.  SARS-CoV-2 host cell entry: an in-silico investigation of potential inhibitory roles of terpenoids (2021). </w:t>
      </w:r>
      <w:r w:rsidRPr="000675F0">
        <w:rPr>
          <w:rFonts w:eastAsia="MS Mincho" w:cs="Times New Roman"/>
          <w:i/>
          <w:color w:val="222E38"/>
          <w:sz w:val="16"/>
        </w:rPr>
        <w:t xml:space="preserve">[Infectious diseases]  </w:t>
      </w:r>
      <w:hyperlink r:id="rId10">
        <w:r w:rsidRPr="000675F0">
          <w:rPr>
            <w:rFonts w:eastAsia="MS Mincho" w:cs="Times New Roman"/>
            <w:color w:val="006F87"/>
            <w:sz w:val="17"/>
            <w:u w:val="single"/>
          </w:rPr>
          <w:t>https://doi.org/10.1186/s43141-021-00209-z</w:t>
        </w:r>
      </w:hyperlink>
    </w:p>
    <w:p w14:paraId="7008A339"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04.  African-derived phytocompounds may interfere with SARS-CoV-2 RNA capping machinery via inhibition of 2′-O-ribose methyltransferase: an in-silico perspective (2022). </w:t>
      </w:r>
      <w:r w:rsidRPr="000675F0">
        <w:rPr>
          <w:rFonts w:eastAsia="MS Mincho" w:cs="Times New Roman"/>
          <w:i/>
          <w:color w:val="222E38"/>
          <w:sz w:val="16"/>
        </w:rPr>
        <w:t xml:space="preserve">[Infectious diseases / natural products]  </w:t>
      </w:r>
      <w:hyperlink r:id="rId11">
        <w:r w:rsidRPr="000675F0">
          <w:rPr>
            <w:rFonts w:eastAsia="MS Mincho" w:cs="Times New Roman"/>
            <w:color w:val="006F87"/>
            <w:sz w:val="17"/>
            <w:u w:val="single"/>
          </w:rPr>
          <w:t>https://doi.org/10.1016/j.molstruc.2022.133019</w:t>
        </w:r>
      </w:hyperlink>
    </w:p>
    <w:p w14:paraId="166AAC68"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05.  Antimalarial phytochemicals as potential inhibitors of SARS-CoV-2 guanine N7-methyltransferase (nsp14): an integrated computational approach (2022). </w:t>
      </w:r>
      <w:r w:rsidRPr="000675F0">
        <w:rPr>
          <w:rFonts w:eastAsia="MS Mincho" w:cs="Times New Roman"/>
          <w:i/>
          <w:color w:val="222E38"/>
          <w:sz w:val="16"/>
        </w:rPr>
        <w:t xml:space="preserve">[Malaria-derived leads / infectious diseases]  </w:t>
      </w:r>
      <w:hyperlink r:id="rId12">
        <w:r w:rsidRPr="000675F0">
          <w:rPr>
            <w:rFonts w:eastAsia="MS Mincho" w:cs="Times New Roman"/>
            <w:color w:val="006F87"/>
            <w:sz w:val="17"/>
            <w:u w:val="single"/>
          </w:rPr>
          <w:t>https://doi.org/10.1080/07391102.2022.2078408</w:t>
        </w:r>
      </w:hyperlink>
    </w:p>
    <w:p w14:paraId="1564DE70"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06.  Fadogia agrestis stem extract restores selected biomolecules of erectile dysfunction in the testicular and penile tissues of paroxetine-treated Wistar rats (2022). </w:t>
      </w:r>
      <w:r w:rsidRPr="000675F0">
        <w:rPr>
          <w:rFonts w:eastAsia="MS Mincho" w:cs="Times New Roman"/>
          <w:i/>
          <w:color w:val="222E38"/>
          <w:sz w:val="16"/>
        </w:rPr>
        <w:t xml:space="preserve">[Reproductive health]  </w:t>
      </w:r>
      <w:hyperlink r:id="rId13">
        <w:r w:rsidRPr="000675F0">
          <w:rPr>
            <w:rFonts w:eastAsia="MS Mincho" w:cs="Times New Roman"/>
            <w:color w:val="006F87"/>
            <w:sz w:val="17"/>
            <w:u w:val="single"/>
          </w:rPr>
          <w:t>https://doi.org/10.1007/s43032-022-01050-6</w:t>
        </w:r>
      </w:hyperlink>
    </w:p>
    <w:p w14:paraId="59B61B32" w14:textId="19735C9D"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07.  Quercetin-3-O-β-D-glucopyranoside-rich fraction from Spondias mombin leaves halted responses from oxidative stress, neuroinflammation, apoptosis, and lipid peroxidation in the brain of dichlorvos-treated Wistar rats (2022). </w:t>
      </w:r>
      <w:r w:rsidRPr="000675F0">
        <w:rPr>
          <w:rFonts w:eastAsia="MS Mincho" w:cs="Times New Roman"/>
          <w:i/>
          <w:color w:val="222E38"/>
          <w:sz w:val="16"/>
        </w:rPr>
        <w:t>[</w:t>
      </w:r>
      <w:r w:rsidR="00105961">
        <w:rPr>
          <w:rFonts w:eastAsia="MS Mincho" w:cs="Times New Roman"/>
          <w:i/>
          <w:color w:val="222E38"/>
          <w:sz w:val="16"/>
        </w:rPr>
        <w:t>Neurotoxicity/pesticide</w:t>
      </w:r>
      <w:r w:rsidRPr="000675F0">
        <w:rPr>
          <w:rFonts w:eastAsia="MS Mincho" w:cs="Times New Roman"/>
          <w:i/>
          <w:color w:val="222E38"/>
          <w:sz w:val="16"/>
        </w:rPr>
        <w:t xml:space="preserve"> exposure]  </w:t>
      </w:r>
      <w:hyperlink r:id="rId14">
        <w:r w:rsidRPr="000675F0">
          <w:rPr>
            <w:rFonts w:eastAsia="MS Mincho" w:cs="Times New Roman"/>
            <w:color w:val="006F87"/>
            <w:sz w:val="17"/>
            <w:u w:val="single"/>
          </w:rPr>
          <w:t>https://doi.org/10.3390/toxics10080477</w:t>
        </w:r>
      </w:hyperlink>
    </w:p>
    <w:p w14:paraId="3A3E22F5"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08.  An assessment of the ameliorative role of hesperidin in Drosophila melanogaster model of cadmium chloride-induced toxicity (2023). </w:t>
      </w:r>
      <w:r w:rsidRPr="000675F0">
        <w:rPr>
          <w:rFonts w:eastAsia="MS Mincho" w:cs="Times New Roman"/>
          <w:i/>
          <w:color w:val="222E38"/>
          <w:sz w:val="16"/>
        </w:rPr>
        <w:t xml:space="preserve">[Environmental toxicology]  </w:t>
      </w:r>
      <w:hyperlink r:id="rId15">
        <w:r w:rsidRPr="000675F0">
          <w:rPr>
            <w:rFonts w:eastAsia="MS Mincho" w:cs="Times New Roman"/>
            <w:color w:val="006F87"/>
            <w:sz w:val="17"/>
            <w:u w:val="single"/>
          </w:rPr>
          <w:t>https://doi.org/10.1016/j.cbpc.2022.109500</w:t>
        </w:r>
      </w:hyperlink>
    </w:p>
    <w:p w14:paraId="7CCFEA04" w14:textId="14878F86"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09.  Nutritional benefits, ethnomedicinal uses, phytochemistry, pharmacological properties and toxicity of Spondias mombin Linn</w:t>
      </w:r>
      <w:r w:rsidR="00105961">
        <w:rPr>
          <w:rFonts w:eastAsia="MS Mincho" w:cs="Times New Roman"/>
          <w:b/>
          <w:color w:val="222E38"/>
          <w:sz w:val="16"/>
        </w:rPr>
        <w:t>.</w:t>
      </w:r>
      <w:r w:rsidRPr="000675F0">
        <w:rPr>
          <w:rFonts w:eastAsia="MS Mincho" w:cs="Times New Roman"/>
          <w:b/>
          <w:color w:val="222E38"/>
          <w:sz w:val="16"/>
        </w:rPr>
        <w:t xml:space="preserve">: a comprehensive review (2023). </w:t>
      </w:r>
      <w:r w:rsidRPr="000675F0">
        <w:rPr>
          <w:rFonts w:eastAsia="MS Mincho" w:cs="Times New Roman"/>
          <w:i/>
          <w:color w:val="222E38"/>
          <w:sz w:val="16"/>
        </w:rPr>
        <w:t xml:space="preserve">[African medicinal plants]  </w:t>
      </w:r>
      <w:hyperlink r:id="rId16">
        <w:r w:rsidRPr="000675F0">
          <w:rPr>
            <w:rFonts w:eastAsia="MS Mincho" w:cs="Times New Roman"/>
            <w:color w:val="006F87"/>
            <w:sz w:val="17"/>
            <w:u w:val="single"/>
          </w:rPr>
          <w:t>https://doi.org/10.1093/jpp/rgac086</w:t>
        </w:r>
      </w:hyperlink>
    </w:p>
    <w:p w14:paraId="4F519390"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10.  Quercetin-3-O-β-D-glucopyranoside-rich fraction demonstrated efficacy against infectious, secretory, and osmotic models of diarrhoeal rats (2023). </w:t>
      </w:r>
      <w:r w:rsidRPr="000675F0">
        <w:rPr>
          <w:rFonts w:eastAsia="MS Mincho" w:cs="Times New Roman"/>
          <w:i/>
          <w:color w:val="222E38"/>
          <w:sz w:val="16"/>
        </w:rPr>
        <w:t xml:space="preserve">[Diarrhoeal disease / phytotherapy]  </w:t>
      </w:r>
      <w:hyperlink r:id="rId17">
        <w:r w:rsidRPr="000675F0">
          <w:rPr>
            <w:rFonts w:eastAsia="MS Mincho" w:cs="Times New Roman"/>
            <w:color w:val="006F87"/>
            <w:sz w:val="17"/>
            <w:u w:val="single"/>
          </w:rPr>
          <w:t>https://doi.org/10.1186/s43141-023-00489-7</w:t>
        </w:r>
      </w:hyperlink>
    </w:p>
    <w:p w14:paraId="0796DBC0"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11.  Identification of potential inhibitors of cholinergic and β-secretase enzymes from phytochemicals derived from Gongronema latifolium Benth leaf: an integrated computational analysis (2023). </w:t>
      </w:r>
      <w:r w:rsidRPr="000675F0">
        <w:rPr>
          <w:rFonts w:eastAsia="MS Mincho" w:cs="Times New Roman"/>
          <w:i/>
          <w:color w:val="222E38"/>
          <w:sz w:val="16"/>
        </w:rPr>
        <w:t xml:space="preserve">[Neurodegeneration / indigenous plants]  </w:t>
      </w:r>
      <w:hyperlink r:id="rId18">
        <w:r w:rsidRPr="000675F0">
          <w:rPr>
            <w:rFonts w:eastAsia="MS Mincho" w:cs="Times New Roman"/>
            <w:color w:val="006F87"/>
            <w:sz w:val="17"/>
            <w:u w:val="single"/>
          </w:rPr>
          <w:t>https://doi.org/10.1007/s11030-023-10658-y</w:t>
        </w:r>
      </w:hyperlink>
    </w:p>
    <w:p w14:paraId="4178FF76"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12.  Beet leaf (Beta vulgaris L.) extract attenuates iron-induced testicular toxicity: experimental and computational approach (2023). </w:t>
      </w:r>
      <w:r w:rsidRPr="000675F0">
        <w:rPr>
          <w:rFonts w:eastAsia="MS Mincho" w:cs="Times New Roman"/>
          <w:i/>
          <w:color w:val="222E38"/>
          <w:sz w:val="16"/>
        </w:rPr>
        <w:t xml:space="preserve">[Reproductive toxicology]  </w:t>
      </w:r>
      <w:hyperlink r:id="rId19">
        <w:r w:rsidRPr="000675F0">
          <w:rPr>
            <w:rFonts w:eastAsia="MS Mincho" w:cs="Times New Roman"/>
            <w:color w:val="006F87"/>
            <w:sz w:val="17"/>
            <w:u w:val="single"/>
          </w:rPr>
          <w:t>https://doi.org/10.1016/j.heliyon.2023.e17700</w:t>
        </w:r>
      </w:hyperlink>
    </w:p>
    <w:p w14:paraId="59ED19DF"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13.  Probing the multitargeting potential of n-hexane fraction of Gongronema latifolium leaves in neurodegeneration via in vitro, GC–MS, and in silico studies (2023). </w:t>
      </w:r>
      <w:r w:rsidRPr="000675F0">
        <w:rPr>
          <w:rFonts w:eastAsia="MS Mincho" w:cs="Times New Roman"/>
          <w:i/>
          <w:color w:val="222E38"/>
          <w:sz w:val="16"/>
        </w:rPr>
        <w:t xml:space="preserve">[Neurodegeneration / indigenous plants]  </w:t>
      </w:r>
      <w:hyperlink r:id="rId20">
        <w:r w:rsidRPr="000675F0">
          <w:rPr>
            <w:rFonts w:eastAsia="MS Mincho" w:cs="Times New Roman"/>
            <w:color w:val="006F87"/>
            <w:sz w:val="17"/>
            <w:u w:val="single"/>
          </w:rPr>
          <w:t>https://doi.org/10.1186/s43094-023-00536-7</w:t>
        </w:r>
      </w:hyperlink>
    </w:p>
    <w:p w14:paraId="78066F34"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lastRenderedPageBreak/>
        <w:t xml:space="preserve">14.  Influence of sodium benzoate in lipopolysaccharide-induced testicular toxicity in Wistar rats (2024). </w:t>
      </w:r>
      <w:r w:rsidRPr="000675F0">
        <w:rPr>
          <w:rFonts w:eastAsia="MS Mincho" w:cs="Times New Roman"/>
          <w:i/>
          <w:color w:val="222E38"/>
          <w:sz w:val="16"/>
        </w:rPr>
        <w:t xml:space="preserve">[Reproductive toxicology]  </w:t>
      </w:r>
      <w:hyperlink r:id="rId21">
        <w:r w:rsidRPr="000675F0">
          <w:rPr>
            <w:rFonts w:eastAsia="MS Mincho" w:cs="Times New Roman"/>
            <w:color w:val="006F87"/>
            <w:sz w:val="17"/>
            <w:u w:val="single"/>
          </w:rPr>
          <w:t>https://doi.org/10.1016/j.kjs.2023.10.015</w:t>
        </w:r>
      </w:hyperlink>
    </w:p>
    <w:p w14:paraId="29E50D03"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15.  Chemical constituents and antioxidant potential of African fruits (2024). </w:t>
      </w:r>
      <w:r w:rsidRPr="000675F0">
        <w:rPr>
          <w:rFonts w:eastAsia="MS Mincho" w:cs="Times New Roman"/>
          <w:i/>
          <w:color w:val="222E38"/>
          <w:sz w:val="16"/>
        </w:rPr>
        <w:t xml:space="preserve">[African nutrition / bioactives]  </w:t>
      </w:r>
      <w:hyperlink r:id="rId22">
        <w:r w:rsidRPr="000675F0">
          <w:rPr>
            <w:rFonts w:eastAsia="MS Mincho" w:cs="Times New Roman"/>
            <w:color w:val="006F87"/>
            <w:sz w:val="17"/>
            <w:u w:val="single"/>
          </w:rPr>
          <w:t>https://doi.org/10.1016/j.sajb.2024.01.016</w:t>
        </w:r>
      </w:hyperlink>
    </w:p>
    <w:p w14:paraId="5330EDF3" w14:textId="00163C60"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16.  Exogenous monosodium glutamate exacerbates lipopolysaccharide-induced neurobehavioral deficits, oxidative damage, neuroinflammation, and cholinergic dysfunction in rat brains (2024). </w:t>
      </w:r>
      <w:r w:rsidRPr="000675F0">
        <w:rPr>
          <w:rFonts w:eastAsia="MS Mincho" w:cs="Times New Roman"/>
          <w:i/>
          <w:color w:val="222E38"/>
          <w:sz w:val="16"/>
        </w:rPr>
        <w:t>[</w:t>
      </w:r>
      <w:r w:rsidR="00105961">
        <w:rPr>
          <w:rFonts w:eastAsia="MS Mincho" w:cs="Times New Roman"/>
          <w:i/>
          <w:color w:val="222E38"/>
          <w:sz w:val="16"/>
        </w:rPr>
        <w:t>Neurotoxicity/food</w:t>
      </w:r>
      <w:r w:rsidRPr="000675F0">
        <w:rPr>
          <w:rFonts w:eastAsia="MS Mincho" w:cs="Times New Roman"/>
          <w:i/>
          <w:color w:val="222E38"/>
          <w:sz w:val="16"/>
        </w:rPr>
        <w:t xml:space="preserve"> additives]  </w:t>
      </w:r>
      <w:hyperlink r:id="rId23">
        <w:r w:rsidRPr="000675F0">
          <w:rPr>
            <w:rFonts w:eastAsia="MS Mincho" w:cs="Times New Roman"/>
            <w:color w:val="006F87"/>
            <w:sz w:val="17"/>
            <w:u w:val="single"/>
          </w:rPr>
          <w:t>https://doi.org/10.1016/j.neulet.2024.137710</w:t>
        </w:r>
      </w:hyperlink>
    </w:p>
    <w:p w14:paraId="17257685"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17.  Neuroinflammatory response and redox-regulation activity of hyperoside in manganese-induced neurotoxicity model of Wistar rats (2024). </w:t>
      </w:r>
      <w:r w:rsidRPr="000675F0">
        <w:rPr>
          <w:rFonts w:eastAsia="MS Mincho" w:cs="Times New Roman"/>
          <w:i/>
          <w:color w:val="222E38"/>
          <w:sz w:val="16"/>
        </w:rPr>
        <w:t xml:space="preserve">[Neuroinflammation]  </w:t>
      </w:r>
      <w:hyperlink r:id="rId24">
        <w:r w:rsidRPr="000675F0">
          <w:rPr>
            <w:rFonts w:eastAsia="MS Mincho" w:cs="Times New Roman"/>
            <w:color w:val="006F87"/>
            <w:sz w:val="17"/>
            <w:u w:val="single"/>
          </w:rPr>
          <w:t>https://doi.org/10.2174/0118746098277166231204103616</w:t>
        </w:r>
      </w:hyperlink>
    </w:p>
    <w:p w14:paraId="13408DBB"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18.  Antioxidant and anti-inflammatory effects of hesperetin in cisplatin-induced male reproductive toxicity in mice (2024). </w:t>
      </w:r>
      <w:r w:rsidRPr="000675F0">
        <w:rPr>
          <w:rFonts w:eastAsia="MS Mincho" w:cs="Times New Roman"/>
          <w:i/>
          <w:color w:val="222E38"/>
          <w:sz w:val="16"/>
        </w:rPr>
        <w:t xml:space="preserve">[Reproductive toxicology]  </w:t>
      </w:r>
      <w:hyperlink r:id="rId25">
        <w:r w:rsidRPr="000675F0">
          <w:rPr>
            <w:rFonts w:eastAsia="MS Mincho" w:cs="Times New Roman"/>
            <w:color w:val="006F87"/>
            <w:sz w:val="17"/>
            <w:u w:val="single"/>
          </w:rPr>
          <w:t>https://doi.org/10.1007/s00580-024-03587-1</w:t>
        </w:r>
      </w:hyperlink>
    </w:p>
    <w:p w14:paraId="2E8A085D"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19.  Phytochemical analysis and in vivo antimalarial activities of ethyl acetate fraction of Spilanthes filicaulis on mice subjected to Plasmodium berghei (2025). </w:t>
      </w:r>
      <w:r w:rsidRPr="000675F0">
        <w:rPr>
          <w:rFonts w:eastAsia="MS Mincho" w:cs="Times New Roman"/>
          <w:i/>
          <w:color w:val="222E38"/>
          <w:sz w:val="16"/>
        </w:rPr>
        <w:t xml:space="preserve">[Malaria / medicinal plants]  </w:t>
      </w:r>
      <w:hyperlink r:id="rId26">
        <w:r w:rsidRPr="000675F0">
          <w:rPr>
            <w:rFonts w:eastAsia="MS Mincho" w:cs="Times New Roman"/>
            <w:color w:val="006F87"/>
            <w:sz w:val="17"/>
            <w:u w:val="single"/>
          </w:rPr>
          <w:t>https://doi.org/10.1089/vbz.2024.0039</w:t>
        </w:r>
      </w:hyperlink>
    </w:p>
    <w:p w14:paraId="006FB1EE"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20.  Protective role of hesperetin in Drosophila melanogaster model of ferrous sulphate-induced toxicity (2024). </w:t>
      </w:r>
      <w:r w:rsidRPr="000675F0">
        <w:rPr>
          <w:rFonts w:eastAsia="MS Mincho" w:cs="Times New Roman"/>
          <w:i/>
          <w:color w:val="222E38"/>
          <w:sz w:val="16"/>
        </w:rPr>
        <w:t xml:space="preserve">[Environmental toxicology]  </w:t>
      </w:r>
      <w:hyperlink r:id="rId27">
        <w:r w:rsidRPr="000675F0">
          <w:rPr>
            <w:rFonts w:eastAsia="MS Mincho" w:cs="Times New Roman"/>
            <w:color w:val="006F87"/>
            <w:sz w:val="17"/>
            <w:u w:val="single"/>
          </w:rPr>
          <w:t>https://doi.org/10.1186/s40360-024-00792-0</w:t>
        </w:r>
      </w:hyperlink>
    </w:p>
    <w:p w14:paraId="58099847"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21.  Ethnopharmacological insights: hyperoside from Marsdenia latifolia mitigates reproductive toxicity in male Wistar rats induced by manganese exposure (2024). </w:t>
      </w:r>
      <w:r w:rsidRPr="000675F0">
        <w:rPr>
          <w:rFonts w:eastAsia="MS Mincho" w:cs="Times New Roman"/>
          <w:i/>
          <w:color w:val="222E38"/>
          <w:sz w:val="16"/>
        </w:rPr>
        <w:t xml:space="preserve">[Reproductive toxicology / medicinal plants]  </w:t>
      </w:r>
      <w:hyperlink r:id="rId28">
        <w:r w:rsidRPr="000675F0">
          <w:rPr>
            <w:rFonts w:eastAsia="MS Mincho" w:cs="Times New Roman"/>
            <w:color w:val="006F87"/>
            <w:sz w:val="17"/>
            <w:u w:val="single"/>
          </w:rPr>
          <w:t>https://doi.org/10.1080/14786419.2024.2423041</w:t>
        </w:r>
      </w:hyperlink>
    </w:p>
    <w:p w14:paraId="0323CB11"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22.  Fertility protective effects of Brillantaisia patula leaf extract against cyclophosphamide-induced ovarian damage in Wistar rats (2024). </w:t>
      </w:r>
      <w:r w:rsidRPr="000675F0">
        <w:rPr>
          <w:rFonts w:eastAsia="MS Mincho" w:cs="Times New Roman"/>
          <w:i/>
          <w:color w:val="222E38"/>
          <w:sz w:val="16"/>
        </w:rPr>
        <w:t xml:space="preserve">[Reproductive health / medicinal plants]  </w:t>
      </w:r>
      <w:hyperlink r:id="rId29">
        <w:r w:rsidRPr="000675F0">
          <w:rPr>
            <w:rFonts w:eastAsia="MS Mincho" w:cs="Times New Roman"/>
            <w:color w:val="006F87"/>
            <w:sz w:val="17"/>
            <w:u w:val="single"/>
          </w:rPr>
          <w:t>https://doi.org/10.1186/s12896-024-00916-8</w:t>
        </w:r>
      </w:hyperlink>
    </w:p>
    <w:p w14:paraId="0F320001"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23.  Tangeretin offers neuroprotection against colchicine-induced memory impairment in Wistar rats by modulating antioxidant milieu, inflammatory mediators and oxidative stress (2025). </w:t>
      </w:r>
      <w:r w:rsidRPr="000675F0">
        <w:rPr>
          <w:rFonts w:eastAsia="MS Mincho" w:cs="Times New Roman"/>
          <w:i/>
          <w:color w:val="222E38"/>
          <w:sz w:val="16"/>
        </w:rPr>
        <w:t xml:space="preserve">[Neuroprotection / natural compounds]  </w:t>
      </w:r>
      <w:hyperlink r:id="rId30">
        <w:r w:rsidRPr="000675F0">
          <w:rPr>
            <w:rFonts w:eastAsia="MS Mincho" w:cs="Times New Roman"/>
            <w:color w:val="006F87"/>
            <w:sz w:val="17"/>
            <w:u w:val="single"/>
          </w:rPr>
          <w:t>https://doi.org/10.1186/s12906-025-04769-2</w:t>
        </w:r>
      </w:hyperlink>
    </w:p>
    <w:p w14:paraId="0C36DC05"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24.  Insights into diabetic nephropathy biomarkers with focus on existing indices and potential future developments (2025). </w:t>
      </w:r>
      <w:r w:rsidRPr="000675F0">
        <w:rPr>
          <w:rFonts w:eastAsia="MS Mincho" w:cs="Times New Roman"/>
          <w:i/>
          <w:color w:val="222E38"/>
          <w:sz w:val="16"/>
        </w:rPr>
        <w:t xml:space="preserve">[Diabetes / kidney health]  </w:t>
      </w:r>
      <w:hyperlink r:id="rId31">
        <w:r w:rsidRPr="000675F0">
          <w:rPr>
            <w:rFonts w:eastAsia="MS Mincho" w:cs="Times New Roman"/>
            <w:color w:val="006F87"/>
            <w:sz w:val="17"/>
            <w:u w:val="single"/>
          </w:rPr>
          <w:t>https://doi.org/10.1007/s44337-025-00333-6</w:t>
        </w:r>
      </w:hyperlink>
    </w:p>
    <w:p w14:paraId="2FA35208"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25.  Evaluation of serum and tissue biochemical assays of Rattus norvegicus after sub-acute oral administration of ethyl acetate sub-fraction of Spilanthes filicaulis (2025). </w:t>
      </w:r>
      <w:r w:rsidRPr="000675F0">
        <w:rPr>
          <w:rFonts w:eastAsia="MS Mincho" w:cs="Times New Roman"/>
          <w:i/>
          <w:color w:val="222E38"/>
          <w:sz w:val="16"/>
        </w:rPr>
        <w:t xml:space="preserve">[Medicinal-plant toxicology]  </w:t>
      </w:r>
      <w:hyperlink r:id="rId32">
        <w:r w:rsidRPr="000675F0">
          <w:rPr>
            <w:rFonts w:eastAsia="MS Mincho" w:cs="Times New Roman"/>
            <w:color w:val="006F87"/>
            <w:sz w:val="17"/>
            <w:u w:val="single"/>
          </w:rPr>
          <w:t>https://doi.org/10.1186/s43094-025-00812-8</w:t>
        </w:r>
      </w:hyperlink>
    </w:p>
    <w:p w14:paraId="278EC8CF"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26.  Influence of high-dose sodium benzoate on lipopolysaccharide-induced neurobehavioral impairment, oxido-inflammatory brain damage, and cholinergic dysfunction in rats (2025). </w:t>
      </w:r>
      <w:r w:rsidRPr="000675F0">
        <w:rPr>
          <w:rFonts w:eastAsia="MS Mincho" w:cs="Times New Roman"/>
          <w:i/>
          <w:color w:val="222E38"/>
          <w:sz w:val="16"/>
        </w:rPr>
        <w:t xml:space="preserve">[Neurotoxicity / food additives]  </w:t>
      </w:r>
      <w:hyperlink r:id="rId33">
        <w:r w:rsidRPr="000675F0">
          <w:rPr>
            <w:rFonts w:eastAsia="MS Mincho" w:cs="Times New Roman"/>
            <w:color w:val="006F87"/>
            <w:sz w:val="17"/>
            <w:u w:val="single"/>
          </w:rPr>
          <w:t>https://doi.org/10.1016/j.toxlet.2025.06.008</w:t>
        </w:r>
      </w:hyperlink>
    </w:p>
    <w:p w14:paraId="2BBA871D"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27.  Monosodium glutamate exacerbated the lipopolysaccharide-induced reproductive toxicity of male Wistar rats (2025). </w:t>
      </w:r>
      <w:r w:rsidRPr="000675F0">
        <w:rPr>
          <w:rFonts w:eastAsia="MS Mincho" w:cs="Times New Roman"/>
          <w:i/>
          <w:color w:val="222E38"/>
          <w:sz w:val="16"/>
        </w:rPr>
        <w:t xml:space="preserve">[Reproductive toxicology]  </w:t>
      </w:r>
      <w:hyperlink r:id="rId34">
        <w:r w:rsidRPr="000675F0">
          <w:rPr>
            <w:rFonts w:eastAsia="MS Mincho" w:cs="Times New Roman"/>
            <w:color w:val="006F87"/>
            <w:sz w:val="17"/>
            <w:u w:val="single"/>
          </w:rPr>
          <w:t>https://doi.org/10.1186/s40360-025-00982-4</w:t>
        </w:r>
      </w:hyperlink>
    </w:p>
    <w:p w14:paraId="2DDE3C2D"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28.  Tangeretin, a natural flavonoid with promising anticancer effects: a comprehensive review (2025). </w:t>
      </w:r>
      <w:r w:rsidRPr="000675F0">
        <w:rPr>
          <w:rFonts w:eastAsia="MS Mincho" w:cs="Times New Roman"/>
          <w:i/>
          <w:color w:val="222E38"/>
          <w:sz w:val="16"/>
        </w:rPr>
        <w:t xml:space="preserve">[Cancer / natural compounds]  </w:t>
      </w:r>
      <w:hyperlink r:id="rId35">
        <w:r w:rsidRPr="000675F0">
          <w:rPr>
            <w:rFonts w:eastAsia="MS Mincho" w:cs="Times New Roman"/>
            <w:color w:val="006F87"/>
            <w:sz w:val="17"/>
            <w:u w:val="single"/>
          </w:rPr>
          <w:t>https://doi.org/10.1016/j.prenap.2025.100287</w:t>
        </w:r>
      </w:hyperlink>
    </w:p>
    <w:p w14:paraId="41B75F9E"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29.  Antimalarial activity of n-hexane and n-butanol fractions of Spilanthes filicaulis in Swiss mice infected with Plasmodium berghei (2025). </w:t>
      </w:r>
      <w:r w:rsidRPr="000675F0">
        <w:rPr>
          <w:rFonts w:eastAsia="MS Mincho" w:cs="Times New Roman"/>
          <w:i/>
          <w:color w:val="222E38"/>
          <w:sz w:val="16"/>
        </w:rPr>
        <w:t xml:space="preserve">[Malaria / medicinal plants]  </w:t>
      </w:r>
      <w:hyperlink r:id="rId36">
        <w:r w:rsidRPr="000675F0">
          <w:rPr>
            <w:rFonts w:eastAsia="MS Mincho" w:cs="Times New Roman"/>
            <w:color w:val="006F87"/>
            <w:sz w:val="17"/>
            <w:u w:val="single"/>
          </w:rPr>
          <w:t>https://doi.org/10.20473/jops.v9i2.67199</w:t>
        </w:r>
      </w:hyperlink>
    </w:p>
    <w:p w14:paraId="32DBFF00" w14:textId="77777777" w:rsidR="000675F0" w:rsidRPr="000675F0" w:rsidRDefault="000675F0" w:rsidP="000675F0">
      <w:pPr>
        <w:spacing w:after="60"/>
        <w:rPr>
          <w:rFonts w:eastAsia="MS Mincho" w:cs="Times New Roman"/>
          <w:color w:val="222E38"/>
          <w:sz w:val="17"/>
        </w:rPr>
      </w:pPr>
      <w:r w:rsidRPr="000675F0">
        <w:rPr>
          <w:rFonts w:eastAsia="MS Mincho" w:cs="Times New Roman"/>
          <w:b/>
          <w:color w:val="222E38"/>
          <w:sz w:val="16"/>
        </w:rPr>
        <w:t xml:space="preserve">30.  Traditional medicinal plants used for cancer treatment in sub-Saharan Africa: a systematic review (2026). </w:t>
      </w:r>
      <w:r w:rsidRPr="000675F0">
        <w:rPr>
          <w:rFonts w:eastAsia="MS Mincho" w:cs="Times New Roman"/>
          <w:i/>
          <w:color w:val="222E38"/>
          <w:sz w:val="16"/>
        </w:rPr>
        <w:t xml:space="preserve">[Cancer / African medicinal plants]  </w:t>
      </w:r>
      <w:hyperlink r:id="rId37">
        <w:r w:rsidRPr="000675F0">
          <w:rPr>
            <w:rFonts w:eastAsia="MS Mincho" w:cs="Times New Roman"/>
            <w:color w:val="006F87"/>
            <w:sz w:val="17"/>
            <w:u w:val="single"/>
          </w:rPr>
          <w:t>https://doi.org/10.3390/plants15121836</w:t>
        </w:r>
      </w:hyperlink>
    </w:p>
    <w:p w14:paraId="3CD26B3B" w14:textId="77777777" w:rsidR="000675F0" w:rsidRPr="000675F0" w:rsidRDefault="000675F0" w:rsidP="000675F0">
      <w:pPr>
        <w:keepNext/>
        <w:keepLines/>
        <w:spacing w:before="160" w:after="80"/>
        <w:outlineLvl w:val="0"/>
        <w:rPr>
          <w:rFonts w:ascii="Calibri" w:eastAsia="MS Gothic" w:hAnsi="Calibri" w:cs="Times New Roman"/>
          <w:b/>
          <w:bCs/>
          <w:color w:val="193F55"/>
          <w:sz w:val="23"/>
          <w:szCs w:val="28"/>
        </w:rPr>
      </w:pPr>
      <w:r w:rsidRPr="000675F0">
        <w:rPr>
          <w:rFonts w:ascii="Calibri" w:eastAsia="MS Gothic" w:hAnsi="Calibri" w:cs="Times New Roman"/>
          <w:b/>
          <w:bCs/>
          <w:color w:val="193F55"/>
          <w:sz w:val="23"/>
          <w:szCs w:val="28"/>
        </w:rPr>
        <w:t>Schedule B. Joint publications with scholars based in other African countries</w:t>
      </w:r>
    </w:p>
    <w:p w14:paraId="6F68942B" w14:textId="462BB95B" w:rsidR="000675F0" w:rsidRPr="000675F0" w:rsidRDefault="000675F0" w:rsidP="000675F0">
      <w:pPr>
        <w:spacing w:after="60"/>
        <w:rPr>
          <w:rFonts w:eastAsia="MS Mincho" w:cs="Times New Roman"/>
          <w:color w:val="222E38"/>
          <w:sz w:val="17"/>
        </w:rPr>
      </w:pPr>
      <w:r w:rsidRPr="000675F0">
        <w:rPr>
          <w:rFonts w:eastAsia="MS Mincho" w:cs="Times New Roman"/>
          <w:color w:val="222E38"/>
          <w:sz w:val="17"/>
        </w:rPr>
        <w:t xml:space="preserve">The partner countries listed below are Egypt and South Africa, </w:t>
      </w:r>
      <w:r w:rsidR="00105961">
        <w:rPr>
          <w:rFonts w:eastAsia="MS Mincho" w:cs="Times New Roman"/>
          <w:color w:val="222E38"/>
          <w:sz w:val="17"/>
        </w:rPr>
        <w:t>not each journal's publishing country</w:t>
      </w:r>
      <w:r w:rsidRPr="000675F0">
        <w:rPr>
          <w:rFonts w:eastAsia="MS Mincho" w:cs="Times New Roman"/>
          <w:color w:val="222E38"/>
          <w:sz w:val="17"/>
        </w:rPr>
        <w:t>.</w:t>
      </w:r>
    </w:p>
    <w:p w14:paraId="1A091861"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01.  Alkaloids and flavonoids from African phytochemicals as potential inhibitors of SARS-CoV-2 RNA-dependent RNA polymerase: an in-silico perspective (2020).</w:t>
      </w:r>
    </w:p>
    <w:p w14:paraId="69F9044C"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Egypt  |  Abdo A. Elfiky; Ibrahim M. Ibrahim  |  Cairo University  |  </w:t>
      </w:r>
      <w:hyperlink r:id="rId38">
        <w:r w:rsidRPr="000675F0">
          <w:rPr>
            <w:rFonts w:eastAsia="MS Mincho" w:cs="Times New Roman"/>
            <w:color w:val="006F87"/>
            <w:sz w:val="17"/>
            <w:u w:val="single"/>
          </w:rPr>
          <w:t>https://doi.org/10.1177/2040206620984076</w:t>
        </w:r>
      </w:hyperlink>
    </w:p>
    <w:p w14:paraId="1126C741"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02.  SARS-CoV-2 host cell entry: an in-silico investigation of potential inhibitory roles of terpenoids (2021).</w:t>
      </w:r>
    </w:p>
    <w:p w14:paraId="17B6D4D1"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Egypt  |  Ibrahim M. Ibrahim  |  Cairo University  |  </w:t>
      </w:r>
      <w:hyperlink r:id="rId39">
        <w:r w:rsidRPr="000675F0">
          <w:rPr>
            <w:rFonts w:eastAsia="MS Mincho" w:cs="Times New Roman"/>
            <w:color w:val="006F87"/>
            <w:sz w:val="17"/>
            <w:u w:val="single"/>
          </w:rPr>
          <w:t>https://doi.org/10.1186/s43141-021-00209-z</w:t>
        </w:r>
      </w:hyperlink>
    </w:p>
    <w:p w14:paraId="5C0F2559"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03.  Antimalarial phytochemicals as potential inhibitors of SARS-CoV-2 guanine N7-methyltransferase (nsp14): an integrated computational approach (2022).</w:t>
      </w:r>
    </w:p>
    <w:p w14:paraId="4C18B5DA"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Egypt  |  Gaber El-Saber Batiha  |  Damanhour University  |  </w:t>
      </w:r>
      <w:hyperlink r:id="rId40">
        <w:r w:rsidRPr="000675F0">
          <w:rPr>
            <w:rFonts w:eastAsia="MS Mincho" w:cs="Times New Roman"/>
            <w:color w:val="006F87"/>
            <w:sz w:val="17"/>
            <w:u w:val="single"/>
          </w:rPr>
          <w:t>https://doi.org/10.1080/07391102.2022.2078408</w:t>
        </w:r>
      </w:hyperlink>
    </w:p>
    <w:p w14:paraId="6B0542F6"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04.  Quercetin-3-O-β-D-glucopyranoside-rich fraction from Spondias mombin leaves halted responses from oxidative stress, neuroinflammation, apoptosis, and lipid peroxidation in the brain of dichlorvos-treated Wistar rats (2022).</w:t>
      </w:r>
    </w:p>
    <w:p w14:paraId="43E6BE3E"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Egypt  |  Gaber El-Saber Batiha  |  Damanhour University  |  </w:t>
      </w:r>
      <w:hyperlink r:id="rId41">
        <w:r w:rsidRPr="000675F0">
          <w:rPr>
            <w:rFonts w:eastAsia="MS Mincho" w:cs="Times New Roman"/>
            <w:color w:val="006F87"/>
            <w:sz w:val="17"/>
            <w:u w:val="single"/>
          </w:rPr>
          <w:t>https://doi.org/10.3390/toxics10080477</w:t>
        </w:r>
      </w:hyperlink>
    </w:p>
    <w:p w14:paraId="061D3980" w14:textId="3169FD43"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05.  Nutritional benefits, ethnomedicinal uses, phytochemistry, pharmacological properties and toxicity of Spondias mombin Linn</w:t>
      </w:r>
      <w:r w:rsidR="00105961">
        <w:rPr>
          <w:rFonts w:eastAsia="MS Mincho" w:cs="Times New Roman"/>
          <w:b/>
          <w:color w:val="222E38"/>
          <w:sz w:val="16"/>
        </w:rPr>
        <w:t>.</w:t>
      </w:r>
      <w:r w:rsidRPr="000675F0">
        <w:rPr>
          <w:rFonts w:eastAsia="MS Mincho" w:cs="Times New Roman"/>
          <w:b/>
          <w:color w:val="222E38"/>
          <w:sz w:val="16"/>
        </w:rPr>
        <w:t>: a comprehensive review (2023).</w:t>
      </w:r>
    </w:p>
    <w:p w14:paraId="2A33A956"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South Africa; Egypt  |  Barnabas O. Oyeyinka; Gaber El-Saber Batiha  |  University of Fort Hare; Damanhour University  |  </w:t>
      </w:r>
      <w:hyperlink r:id="rId42">
        <w:r w:rsidRPr="000675F0">
          <w:rPr>
            <w:rFonts w:eastAsia="MS Mincho" w:cs="Times New Roman"/>
            <w:color w:val="006F87"/>
            <w:sz w:val="17"/>
            <w:u w:val="single"/>
          </w:rPr>
          <w:t>https://doi.org/10.1093/jpp/rgac086</w:t>
        </w:r>
      </w:hyperlink>
    </w:p>
    <w:p w14:paraId="1AF406CF"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06.  Identification of potential inhibitors of cholinergic and β-secretase enzymes from phytochemicals derived from Gongronema latifolium Benth leaf: an integrated computational analysis (2023).</w:t>
      </w:r>
    </w:p>
    <w:p w14:paraId="1EB60061"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lastRenderedPageBreak/>
        <w:t xml:space="preserve">Egypt  |  Ibrahim M. Ibrahim; Gaber El-Saber Batiha  |  Cairo University; Damanhour University  |  </w:t>
      </w:r>
      <w:hyperlink r:id="rId43">
        <w:r w:rsidRPr="000675F0">
          <w:rPr>
            <w:rFonts w:eastAsia="MS Mincho" w:cs="Times New Roman"/>
            <w:color w:val="006F87"/>
            <w:sz w:val="17"/>
            <w:u w:val="single"/>
          </w:rPr>
          <w:t>https://doi.org/10.1007/s11030-023-10658-y</w:t>
        </w:r>
      </w:hyperlink>
    </w:p>
    <w:p w14:paraId="47394029"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07.  Beet leaf (Beta vulgaris L.) extract attenuates iron-induced testicular toxicity: experimental and computational approach (2023).</w:t>
      </w:r>
    </w:p>
    <w:p w14:paraId="7A5F4433"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South Africa  |  Adeshina I. Odugbemi; Samuel A. Egieyeh  |  University of the Western Cape / NITheCS  |  </w:t>
      </w:r>
      <w:hyperlink r:id="rId44">
        <w:r w:rsidRPr="000675F0">
          <w:rPr>
            <w:rFonts w:eastAsia="MS Mincho" w:cs="Times New Roman"/>
            <w:color w:val="006F87"/>
            <w:sz w:val="17"/>
            <w:u w:val="single"/>
          </w:rPr>
          <w:t>https://doi.org/10.1016/j.heliyon.2023.e17700</w:t>
        </w:r>
      </w:hyperlink>
    </w:p>
    <w:p w14:paraId="33C85A87"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08.  Probing the multitargeting potential of n-hexane fraction of Gongronema latifolium leaves in neurodegeneration via in vitro, GC–MS, and in silico studies (2023).</w:t>
      </w:r>
    </w:p>
    <w:p w14:paraId="2845CC94"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Egypt  |  Ibrahim M. Ibrahim; Gaber El-Saber Batiha  |  Cairo University; Damanhour University  |  </w:t>
      </w:r>
      <w:hyperlink r:id="rId45">
        <w:r w:rsidRPr="000675F0">
          <w:rPr>
            <w:rFonts w:eastAsia="MS Mincho" w:cs="Times New Roman"/>
            <w:color w:val="006F87"/>
            <w:sz w:val="17"/>
            <w:u w:val="single"/>
          </w:rPr>
          <w:t>https://doi.org/10.1186/s43094-023-00536-7</w:t>
        </w:r>
      </w:hyperlink>
    </w:p>
    <w:p w14:paraId="18C613F3"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09.  Chemical constituents and antioxidant potential of African fruits (2024).</w:t>
      </w:r>
    </w:p>
    <w:p w14:paraId="01F7FE03"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South Africa  |  Kannan R. R. Rengasamy  |  University of Limpopo  |  </w:t>
      </w:r>
      <w:hyperlink r:id="rId46">
        <w:r w:rsidRPr="000675F0">
          <w:rPr>
            <w:rFonts w:eastAsia="MS Mincho" w:cs="Times New Roman"/>
            <w:color w:val="006F87"/>
            <w:sz w:val="17"/>
            <w:u w:val="single"/>
          </w:rPr>
          <w:t>https://doi.org/10.1016/j.sajb.2024.01.016</w:t>
        </w:r>
      </w:hyperlink>
      <w:r w:rsidRPr="000675F0">
        <w:rPr>
          <w:rFonts w:eastAsia="MS Mincho" w:cs="Times New Roman"/>
          <w:i/>
          <w:color w:val="222E38"/>
          <w:sz w:val="16"/>
        </w:rPr>
        <w:t xml:space="preserve">  [Verify publisher affiliation before certification]</w:t>
      </w:r>
    </w:p>
    <w:p w14:paraId="21D87D6D"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10.  Tangeretin offers neuroprotection against colchicine-induced memory impairment in Wistar rats by modulating antioxidant milieu, inflammatory mediators and oxidative stress (2025).</w:t>
      </w:r>
    </w:p>
    <w:p w14:paraId="09508B41"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South Africa  |  Gideon A. Gyebi  |  Durban University of Technology  |  </w:t>
      </w:r>
      <w:hyperlink r:id="rId47">
        <w:r w:rsidRPr="000675F0">
          <w:rPr>
            <w:rFonts w:eastAsia="MS Mincho" w:cs="Times New Roman"/>
            <w:color w:val="006F87"/>
            <w:sz w:val="17"/>
            <w:u w:val="single"/>
          </w:rPr>
          <w:t>https://doi.org/10.1186/s12906-025-04769-2</w:t>
        </w:r>
      </w:hyperlink>
    </w:p>
    <w:p w14:paraId="71FB001F" w14:textId="77777777" w:rsidR="000675F0" w:rsidRPr="000675F0" w:rsidRDefault="000675F0" w:rsidP="000675F0">
      <w:pPr>
        <w:spacing w:after="0"/>
        <w:rPr>
          <w:rFonts w:eastAsia="MS Mincho" w:cs="Times New Roman"/>
          <w:color w:val="222E38"/>
          <w:sz w:val="17"/>
        </w:rPr>
      </w:pPr>
      <w:r w:rsidRPr="000675F0">
        <w:rPr>
          <w:rFonts w:eastAsia="MS Mincho" w:cs="Times New Roman"/>
          <w:b/>
          <w:color w:val="222E38"/>
          <w:sz w:val="16"/>
        </w:rPr>
        <w:t>11.  Traditional medicinal plants used for cancer treatment in sub-Saharan Africa: a systematic review (2026).</w:t>
      </w:r>
    </w:p>
    <w:p w14:paraId="4540985A" w14:textId="77777777" w:rsidR="000675F0" w:rsidRPr="000675F0" w:rsidRDefault="000675F0" w:rsidP="000675F0">
      <w:pPr>
        <w:spacing w:after="100"/>
        <w:ind w:left="360"/>
        <w:rPr>
          <w:rFonts w:eastAsia="MS Mincho" w:cs="Times New Roman"/>
          <w:color w:val="222E38"/>
          <w:sz w:val="17"/>
        </w:rPr>
      </w:pPr>
      <w:r w:rsidRPr="000675F0">
        <w:rPr>
          <w:rFonts w:eastAsia="MS Mincho" w:cs="Times New Roman"/>
          <w:color w:val="222E38"/>
          <w:sz w:val="16"/>
        </w:rPr>
        <w:t xml:space="preserve">South Africa  |  Tomi L. Adetunji; Stephen O. Amoo  |  Agricultural Research Council / North-West University  |  </w:t>
      </w:r>
      <w:hyperlink r:id="rId48">
        <w:r w:rsidRPr="000675F0">
          <w:rPr>
            <w:rFonts w:eastAsia="MS Mincho" w:cs="Times New Roman"/>
            <w:color w:val="006F87"/>
            <w:sz w:val="17"/>
            <w:u w:val="single"/>
          </w:rPr>
          <w:t>https://doi.org/10.3390/plants15121836</w:t>
        </w:r>
      </w:hyperlink>
    </w:p>
    <w:p w14:paraId="4F2D25A5" w14:textId="77777777" w:rsidR="000675F0" w:rsidRPr="000675F0" w:rsidRDefault="000675F0" w:rsidP="000675F0">
      <w:pPr>
        <w:keepNext/>
        <w:keepLines/>
        <w:spacing w:before="160" w:after="80"/>
        <w:outlineLvl w:val="0"/>
        <w:rPr>
          <w:rFonts w:ascii="Calibri" w:eastAsia="MS Gothic" w:hAnsi="Calibri" w:cs="Times New Roman"/>
          <w:b/>
          <w:bCs/>
          <w:color w:val="193F55"/>
          <w:sz w:val="23"/>
          <w:szCs w:val="28"/>
        </w:rPr>
      </w:pPr>
      <w:r w:rsidRPr="000675F0">
        <w:rPr>
          <w:rFonts w:ascii="Calibri" w:eastAsia="MS Gothic" w:hAnsi="Calibri" w:cs="Times New Roman"/>
          <w:b/>
          <w:bCs/>
          <w:color w:val="193F55"/>
          <w:sz w:val="23"/>
          <w:szCs w:val="28"/>
        </w:rPr>
        <w:t>Selected publisher and bibliographic verification links</w:t>
      </w:r>
    </w:p>
    <w:p w14:paraId="120A0096" w14:textId="77777777" w:rsidR="000675F0" w:rsidRPr="000675F0" w:rsidRDefault="000675F0" w:rsidP="000675F0">
      <w:pPr>
        <w:spacing w:after="40"/>
        <w:rPr>
          <w:rFonts w:eastAsia="MS Mincho" w:cs="Times New Roman"/>
          <w:color w:val="222E38"/>
          <w:sz w:val="17"/>
        </w:rPr>
      </w:pPr>
      <w:r w:rsidRPr="000675F0">
        <w:rPr>
          <w:rFonts w:eastAsia="MS Mincho" w:cs="Times New Roman"/>
          <w:color w:val="222E38"/>
          <w:sz w:val="17"/>
        </w:rPr>
        <w:t xml:space="preserve">2026 Plants paper — publication, date and institutional authors: </w:t>
      </w:r>
      <w:hyperlink r:id="rId49">
        <w:r w:rsidRPr="000675F0">
          <w:rPr>
            <w:rFonts w:eastAsia="MS Mincho" w:cs="Times New Roman"/>
            <w:color w:val="006F87"/>
            <w:sz w:val="17"/>
            <w:u w:val="single"/>
          </w:rPr>
          <w:t>https://www.mdpi.com/2223-7747/15/12/1836</w:t>
        </w:r>
      </w:hyperlink>
    </w:p>
    <w:p w14:paraId="24C54593" w14:textId="77777777" w:rsidR="000675F0" w:rsidRPr="000675F0" w:rsidRDefault="000675F0" w:rsidP="000675F0">
      <w:pPr>
        <w:spacing w:after="40"/>
        <w:rPr>
          <w:rFonts w:eastAsia="MS Mincho" w:cs="Times New Roman"/>
          <w:color w:val="222E38"/>
          <w:sz w:val="17"/>
        </w:rPr>
      </w:pPr>
      <w:r w:rsidRPr="000675F0">
        <w:rPr>
          <w:rFonts w:eastAsia="MS Mincho" w:cs="Times New Roman"/>
          <w:color w:val="222E38"/>
          <w:sz w:val="17"/>
        </w:rPr>
        <w:t xml:space="preserve">2025 tangeretin paper — KDU, South Africa and Saudi Arabia coauthors: </w:t>
      </w:r>
      <w:hyperlink r:id="rId50">
        <w:r w:rsidRPr="000675F0">
          <w:rPr>
            <w:rFonts w:eastAsia="MS Mincho" w:cs="Times New Roman"/>
            <w:color w:val="006F87"/>
            <w:sz w:val="17"/>
            <w:u w:val="single"/>
          </w:rPr>
          <w:t>https://pubmed.ncbi.nlm.nih.gov/39905390/</w:t>
        </w:r>
      </w:hyperlink>
    </w:p>
    <w:p w14:paraId="3F0ACC07" w14:textId="77777777" w:rsidR="000675F0" w:rsidRPr="000675F0" w:rsidRDefault="000675F0" w:rsidP="000675F0">
      <w:pPr>
        <w:spacing w:after="40"/>
        <w:rPr>
          <w:rFonts w:eastAsia="MS Mincho" w:cs="Times New Roman"/>
          <w:color w:val="222E38"/>
          <w:sz w:val="17"/>
        </w:rPr>
      </w:pPr>
      <w:r w:rsidRPr="000675F0">
        <w:rPr>
          <w:rFonts w:eastAsia="MS Mincho" w:cs="Times New Roman"/>
          <w:color w:val="222E38"/>
          <w:sz w:val="17"/>
        </w:rPr>
        <w:t xml:space="preserve">2023 beet leaf paper — South African collaboration: </w:t>
      </w:r>
      <w:hyperlink r:id="rId51">
        <w:r w:rsidRPr="000675F0">
          <w:rPr>
            <w:rFonts w:eastAsia="MS Mincho" w:cs="Times New Roman"/>
            <w:color w:val="006F87"/>
            <w:sz w:val="17"/>
            <w:u w:val="single"/>
          </w:rPr>
          <w:t>https://pmc.ncbi.nlm.nih.gov/articles/PMC10359825/</w:t>
        </w:r>
      </w:hyperlink>
    </w:p>
    <w:p w14:paraId="1C420827" w14:textId="77777777" w:rsidR="000675F0" w:rsidRPr="000675F0" w:rsidRDefault="000675F0" w:rsidP="000675F0">
      <w:pPr>
        <w:spacing w:after="40"/>
        <w:rPr>
          <w:rFonts w:eastAsia="MS Mincho" w:cs="Times New Roman"/>
          <w:color w:val="222E38"/>
          <w:sz w:val="17"/>
        </w:rPr>
      </w:pPr>
      <w:r w:rsidRPr="000675F0">
        <w:rPr>
          <w:rFonts w:eastAsia="MS Mincho" w:cs="Times New Roman"/>
          <w:color w:val="222E38"/>
          <w:sz w:val="17"/>
        </w:rPr>
        <w:t xml:space="preserve">2022 Spondias mombin paper — multi-country coauthorship: </w:t>
      </w:r>
      <w:hyperlink r:id="rId52">
        <w:r w:rsidRPr="000675F0">
          <w:rPr>
            <w:rFonts w:eastAsia="MS Mincho" w:cs="Times New Roman"/>
            <w:color w:val="006F87"/>
            <w:sz w:val="17"/>
            <w:u w:val="single"/>
          </w:rPr>
          <w:t>https://pmc.ncbi.nlm.nih.gov/articles/PMC9413772/</w:t>
        </w:r>
      </w:hyperlink>
    </w:p>
    <w:p w14:paraId="2C3F9151" w14:textId="77777777" w:rsidR="000675F0" w:rsidRPr="000675F0" w:rsidRDefault="000675F0" w:rsidP="000675F0">
      <w:pPr>
        <w:spacing w:after="40"/>
        <w:rPr>
          <w:rFonts w:eastAsia="MS Mincho" w:cs="Times New Roman"/>
          <w:color w:val="222E38"/>
          <w:sz w:val="17"/>
        </w:rPr>
      </w:pPr>
      <w:r w:rsidRPr="000675F0">
        <w:rPr>
          <w:rFonts w:eastAsia="MS Mincho" w:cs="Times New Roman"/>
          <w:color w:val="222E38"/>
          <w:sz w:val="17"/>
        </w:rPr>
        <w:t xml:space="preserve">2025 antimalarial paper — Journal of Parasite Science: </w:t>
      </w:r>
      <w:hyperlink r:id="rId53">
        <w:r w:rsidRPr="000675F0">
          <w:rPr>
            <w:rFonts w:eastAsia="MS Mincho" w:cs="Times New Roman"/>
            <w:color w:val="006F87"/>
            <w:sz w:val="17"/>
            <w:u w:val="single"/>
          </w:rPr>
          <w:t>https://doi.org/10.20473/jops.v9i2.67199</w:t>
        </w:r>
      </w:hyperlink>
    </w:p>
    <w:p w14:paraId="1DB69F67" w14:textId="77777777" w:rsidR="000675F0" w:rsidRPr="000675F0" w:rsidRDefault="000675F0" w:rsidP="000675F0">
      <w:pPr>
        <w:spacing w:after="40"/>
        <w:rPr>
          <w:rFonts w:eastAsia="MS Mincho" w:cs="Times New Roman"/>
          <w:color w:val="222E38"/>
          <w:sz w:val="17"/>
        </w:rPr>
      </w:pPr>
      <w:r w:rsidRPr="000675F0">
        <w:rPr>
          <w:rFonts w:eastAsia="MS Mincho" w:cs="Times New Roman"/>
          <w:color w:val="222E38"/>
          <w:sz w:val="17"/>
        </w:rPr>
        <w:t xml:space="preserve">2024 African-fruits article — publisher record: </w:t>
      </w:r>
      <w:hyperlink r:id="rId54">
        <w:r w:rsidRPr="000675F0">
          <w:rPr>
            <w:rFonts w:eastAsia="MS Mincho" w:cs="Times New Roman"/>
            <w:color w:val="006F87"/>
            <w:sz w:val="17"/>
            <w:u w:val="single"/>
          </w:rPr>
          <w:t>https://doi.org/10.1016/j.sajb.2024.01.016</w:t>
        </w:r>
      </w:hyperlink>
    </w:p>
    <w:p w14:paraId="020DF722" w14:textId="77777777" w:rsidR="000675F0" w:rsidRPr="000675F0" w:rsidRDefault="000675F0" w:rsidP="000675F0">
      <w:pPr>
        <w:spacing w:before="200" w:after="60"/>
        <w:rPr>
          <w:rFonts w:eastAsia="MS Mincho" w:cs="Times New Roman"/>
          <w:color w:val="222E38"/>
          <w:sz w:val="17"/>
        </w:rPr>
      </w:pPr>
      <w:r w:rsidRPr="000675F0">
        <w:rPr>
          <w:rFonts w:eastAsia="MS Mincho" w:cs="Times New Roman"/>
          <w:b/>
          <w:color w:val="222E38"/>
          <w:sz w:val="17"/>
        </w:rPr>
        <w:t xml:space="preserve">Submitted by: </w:t>
      </w:r>
      <w:r w:rsidRPr="000675F0">
        <w:rPr>
          <w:rFonts w:eastAsia="MS Mincho" w:cs="Times New Roman"/>
          <w:color w:val="222E38"/>
          <w:sz w:val="17"/>
        </w:rPr>
        <w:t>Dr Olalekan Bukunmi Ogunro  |  Senior Lecturer (Biochemistry)  |  KolaDaisi University, Ibadan</w:t>
      </w:r>
    </w:p>
    <w:p w14:paraId="6CCE761E" w14:textId="77777777" w:rsidR="000675F0" w:rsidRPr="000675F0" w:rsidRDefault="000675F0" w:rsidP="000675F0">
      <w:pPr>
        <w:spacing w:after="60"/>
        <w:rPr>
          <w:rFonts w:eastAsia="MS Mincho" w:cs="Times New Roman"/>
          <w:color w:val="222E38"/>
          <w:sz w:val="17"/>
        </w:rPr>
      </w:pPr>
      <w:r w:rsidRPr="000675F0">
        <w:rPr>
          <w:rFonts w:eastAsia="MS Mincho" w:cs="Times New Roman"/>
          <w:color w:val="222E38"/>
          <w:sz w:val="17"/>
        </w:rPr>
        <w:t>Submission date: 20 October 2026</w:t>
      </w:r>
    </w:p>
    <w:p w14:paraId="197029A2" w14:textId="77777777" w:rsidR="000675F0" w:rsidRPr="00BF14E8" w:rsidRDefault="000675F0" w:rsidP="00BF14E8">
      <w:pPr>
        <w:spacing w:after="0"/>
        <w:rPr>
          <w:rFonts w:eastAsia="MS Mincho" w:cs="Times New Roman"/>
          <w:color w:val="1C2A33"/>
          <w:sz w:val="18"/>
        </w:rPr>
      </w:pPr>
    </w:p>
    <w:sectPr w:rsidR="000675F0" w:rsidRPr="00BF14E8" w:rsidSect="00BF14E8">
      <w:footerReference w:type="default" r:id="rId55"/>
      <w:pgSz w:w="11906" w:h="16838" w:code="9"/>
      <w:pgMar w:top="1080" w:right="1133" w:bottom="1008" w:left="993"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4B221" w14:textId="77777777" w:rsidR="00075918" w:rsidRDefault="00075918">
      <w:pPr>
        <w:spacing w:after="0" w:line="240" w:lineRule="auto"/>
      </w:pPr>
      <w:r>
        <w:separator/>
      </w:r>
    </w:p>
  </w:endnote>
  <w:endnote w:type="continuationSeparator" w:id="0">
    <w:p w14:paraId="7F41FDB5" w14:textId="77777777" w:rsidR="00075918" w:rsidRDefault="00075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6DAB" w14:textId="77777777" w:rsidR="009E022A" w:rsidRDefault="009E022A">
    <w:pPr>
      <w:pStyle w:val="Footer"/>
      <w:jc w:val="center"/>
    </w:pPr>
    <w:r>
      <w:t>KolaDaisi University  |  Individual contribution  |  Reporting cut-off: 30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BA145" w14:textId="77777777" w:rsidR="00075918" w:rsidRDefault="00075918">
      <w:pPr>
        <w:spacing w:after="0" w:line="240" w:lineRule="auto"/>
      </w:pPr>
      <w:r>
        <w:separator/>
      </w:r>
    </w:p>
  </w:footnote>
  <w:footnote w:type="continuationSeparator" w:id="0">
    <w:p w14:paraId="1A55B887" w14:textId="77777777" w:rsidR="00075918" w:rsidRDefault="00075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86BE4C"/>
    <w:lvl w:ilvl="0">
      <w:start w:val="1"/>
      <w:numFmt w:val="bullet"/>
      <w:pStyle w:val="ListBullet"/>
      <w:lvlText w:val=""/>
      <w:lvlJc w:val="left"/>
      <w:pPr>
        <w:tabs>
          <w:tab w:val="num" w:pos="360"/>
        </w:tabs>
        <w:ind w:left="360" w:hanging="360"/>
      </w:pPr>
      <w:rPr>
        <w:rFonts w:ascii="Symbol" w:hAnsi="Symbol" w:hint="default"/>
      </w:rPr>
    </w:lvl>
  </w:abstractNum>
  <w:num w:numId="1" w16cid:durableId="1964311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2A"/>
    <w:rsid w:val="0006284A"/>
    <w:rsid w:val="000675F0"/>
    <w:rsid w:val="00075918"/>
    <w:rsid w:val="000A6D62"/>
    <w:rsid w:val="000C390F"/>
    <w:rsid w:val="00105961"/>
    <w:rsid w:val="00274B08"/>
    <w:rsid w:val="003B1E8C"/>
    <w:rsid w:val="00426C2A"/>
    <w:rsid w:val="00472DE0"/>
    <w:rsid w:val="00585E57"/>
    <w:rsid w:val="005E796D"/>
    <w:rsid w:val="00630321"/>
    <w:rsid w:val="006F0140"/>
    <w:rsid w:val="006F05A0"/>
    <w:rsid w:val="006F0F05"/>
    <w:rsid w:val="006F355D"/>
    <w:rsid w:val="00721E7A"/>
    <w:rsid w:val="007D43E5"/>
    <w:rsid w:val="007F5854"/>
    <w:rsid w:val="00864CE1"/>
    <w:rsid w:val="00875D6F"/>
    <w:rsid w:val="008B3761"/>
    <w:rsid w:val="008D586A"/>
    <w:rsid w:val="009226A3"/>
    <w:rsid w:val="009338AA"/>
    <w:rsid w:val="00936B24"/>
    <w:rsid w:val="0095342D"/>
    <w:rsid w:val="00991ED7"/>
    <w:rsid w:val="009A4817"/>
    <w:rsid w:val="009E022A"/>
    <w:rsid w:val="00A10822"/>
    <w:rsid w:val="00AA13CD"/>
    <w:rsid w:val="00AD3DC6"/>
    <w:rsid w:val="00AE6157"/>
    <w:rsid w:val="00B0231A"/>
    <w:rsid w:val="00B464DB"/>
    <w:rsid w:val="00B775E6"/>
    <w:rsid w:val="00BF14E8"/>
    <w:rsid w:val="00C00EC5"/>
    <w:rsid w:val="00D72244"/>
    <w:rsid w:val="00DB2679"/>
    <w:rsid w:val="00E72C34"/>
    <w:rsid w:val="00EC5236"/>
    <w:rsid w:val="00FA03DC"/>
    <w:rsid w:val="00FC7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84D2"/>
  <w15:chartTrackingRefBased/>
  <w15:docId w15:val="{2E065F4A-6071-43DB-B918-9F8E188D2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22A"/>
    <w:pPr>
      <w:spacing w:after="200" w:line="276" w:lineRule="auto"/>
    </w:pPr>
    <w:rPr>
      <w:rFonts w:ascii="Aptos" w:eastAsiaTheme="minorEastAsia" w:hAnsi="Aptos"/>
      <w:kern w:val="0"/>
      <w:sz w:val="20"/>
      <w:szCs w:val="22"/>
      <w14:ligatures w14:val="none"/>
    </w:rPr>
  </w:style>
  <w:style w:type="paragraph" w:styleId="Heading1">
    <w:name w:val="heading 1"/>
    <w:basedOn w:val="Normal"/>
    <w:next w:val="Normal"/>
    <w:link w:val="Heading1Char"/>
    <w:uiPriority w:val="9"/>
    <w:qFormat/>
    <w:rsid w:val="009E0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0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2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2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2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2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2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2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2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22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E022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E022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E022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E022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E022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E022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E022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E022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E02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22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E02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22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E022A"/>
    <w:pPr>
      <w:spacing w:before="160"/>
      <w:jc w:val="center"/>
    </w:pPr>
    <w:rPr>
      <w:i/>
      <w:iCs/>
      <w:color w:val="404040" w:themeColor="text1" w:themeTint="BF"/>
    </w:rPr>
  </w:style>
  <w:style w:type="character" w:customStyle="1" w:styleId="QuoteChar">
    <w:name w:val="Quote Char"/>
    <w:basedOn w:val="DefaultParagraphFont"/>
    <w:link w:val="Quote"/>
    <w:uiPriority w:val="29"/>
    <w:rsid w:val="009E022A"/>
    <w:rPr>
      <w:i/>
      <w:iCs/>
      <w:color w:val="404040" w:themeColor="text1" w:themeTint="BF"/>
      <w:lang w:val="en-GB"/>
    </w:rPr>
  </w:style>
  <w:style w:type="paragraph" w:styleId="ListParagraph">
    <w:name w:val="List Paragraph"/>
    <w:basedOn w:val="Normal"/>
    <w:uiPriority w:val="34"/>
    <w:qFormat/>
    <w:rsid w:val="009E022A"/>
    <w:pPr>
      <w:ind w:left="720"/>
      <w:contextualSpacing/>
    </w:pPr>
  </w:style>
  <w:style w:type="character" w:styleId="IntenseEmphasis">
    <w:name w:val="Intense Emphasis"/>
    <w:basedOn w:val="DefaultParagraphFont"/>
    <w:uiPriority w:val="21"/>
    <w:qFormat/>
    <w:rsid w:val="009E022A"/>
    <w:rPr>
      <w:i/>
      <w:iCs/>
      <w:color w:val="0F4761" w:themeColor="accent1" w:themeShade="BF"/>
    </w:rPr>
  </w:style>
  <w:style w:type="paragraph" w:styleId="IntenseQuote">
    <w:name w:val="Intense Quote"/>
    <w:basedOn w:val="Normal"/>
    <w:next w:val="Normal"/>
    <w:link w:val="IntenseQuoteChar"/>
    <w:uiPriority w:val="30"/>
    <w:qFormat/>
    <w:rsid w:val="009E0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22A"/>
    <w:rPr>
      <w:i/>
      <w:iCs/>
      <w:color w:val="0F4761" w:themeColor="accent1" w:themeShade="BF"/>
      <w:lang w:val="en-GB"/>
    </w:rPr>
  </w:style>
  <w:style w:type="character" w:styleId="IntenseReference">
    <w:name w:val="Intense Reference"/>
    <w:basedOn w:val="DefaultParagraphFont"/>
    <w:uiPriority w:val="32"/>
    <w:qFormat/>
    <w:rsid w:val="009E022A"/>
    <w:rPr>
      <w:b/>
      <w:bCs/>
      <w:smallCaps/>
      <w:color w:val="0F4761" w:themeColor="accent1" w:themeShade="BF"/>
      <w:spacing w:val="5"/>
    </w:rPr>
  </w:style>
  <w:style w:type="paragraph" w:styleId="Footer">
    <w:name w:val="footer"/>
    <w:basedOn w:val="Normal"/>
    <w:link w:val="FooterChar"/>
    <w:uiPriority w:val="99"/>
    <w:unhideWhenUsed/>
    <w:rsid w:val="009E0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22A"/>
    <w:rPr>
      <w:rFonts w:ascii="Aptos" w:eastAsiaTheme="minorEastAsia" w:hAnsi="Aptos"/>
      <w:kern w:val="0"/>
      <w:sz w:val="20"/>
      <w:szCs w:val="22"/>
      <w14:ligatures w14:val="none"/>
    </w:rPr>
  </w:style>
  <w:style w:type="paragraph" w:styleId="ListBullet">
    <w:name w:val="List Bullet"/>
    <w:basedOn w:val="Normal"/>
    <w:uiPriority w:val="99"/>
    <w:unhideWhenUsed/>
    <w:rsid w:val="009E022A"/>
    <w:pPr>
      <w:numPr>
        <w:numId w:val="1"/>
      </w:numPr>
      <w:tabs>
        <w:tab w:val="clear" w:pos="360"/>
      </w:tabs>
      <w:ind w:left="0" w:firstLine="0"/>
      <w:contextualSpacing/>
    </w:pPr>
  </w:style>
  <w:style w:type="table" w:styleId="LightShading-Accent1">
    <w:name w:val="Light Shading Accent 1"/>
    <w:basedOn w:val="TableNormal"/>
    <w:uiPriority w:val="60"/>
    <w:rsid w:val="009E022A"/>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ableGrid">
    <w:name w:val="Table Grid"/>
    <w:basedOn w:val="TableNormal"/>
    <w:uiPriority w:val="59"/>
    <w:rsid w:val="00585E57"/>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43032-022-01050-6" TargetMode="External"/><Relationship Id="rId18" Type="http://schemas.openxmlformats.org/officeDocument/2006/relationships/hyperlink" Target="https://doi.org/10.1007/s11030-023-10658-y" TargetMode="External"/><Relationship Id="rId26" Type="http://schemas.openxmlformats.org/officeDocument/2006/relationships/hyperlink" Target="https://doi.org/10.1089/vbz.2024.0039" TargetMode="External"/><Relationship Id="rId39" Type="http://schemas.openxmlformats.org/officeDocument/2006/relationships/hyperlink" Target="https://doi.org/10.1186/s43141-021-00209-z" TargetMode="External"/><Relationship Id="rId21" Type="http://schemas.openxmlformats.org/officeDocument/2006/relationships/hyperlink" Target="https://doi.org/10.1016/j.kjs.2023.10.015" TargetMode="External"/><Relationship Id="rId34" Type="http://schemas.openxmlformats.org/officeDocument/2006/relationships/hyperlink" Target="https://doi.org/10.1186/s40360-025-00982-4" TargetMode="External"/><Relationship Id="rId42" Type="http://schemas.openxmlformats.org/officeDocument/2006/relationships/hyperlink" Target="https://doi.org/10.1093/jpp/rgac086" TargetMode="External"/><Relationship Id="rId47" Type="http://schemas.openxmlformats.org/officeDocument/2006/relationships/hyperlink" Target="https://doi.org/10.1186/s12906-025-04769-2" TargetMode="External"/><Relationship Id="rId50" Type="http://schemas.openxmlformats.org/officeDocument/2006/relationships/hyperlink" Target="https://pubmed.ncbi.nlm.nih.gov/39905390/"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3/jpp/rgac086" TargetMode="External"/><Relationship Id="rId29" Type="http://schemas.openxmlformats.org/officeDocument/2006/relationships/hyperlink" Target="https://doi.org/10.1186/s12896-024-00916-8" TargetMode="External"/><Relationship Id="rId11" Type="http://schemas.openxmlformats.org/officeDocument/2006/relationships/hyperlink" Target="https://doi.org/10.1016/j.molstruc.2022.133019" TargetMode="External"/><Relationship Id="rId24" Type="http://schemas.openxmlformats.org/officeDocument/2006/relationships/hyperlink" Target="https://doi.org/10.2174/0118746098277166231204103616" TargetMode="External"/><Relationship Id="rId32" Type="http://schemas.openxmlformats.org/officeDocument/2006/relationships/hyperlink" Target="https://doi.org/10.1186/s43094-025-00812-8" TargetMode="External"/><Relationship Id="rId37" Type="http://schemas.openxmlformats.org/officeDocument/2006/relationships/hyperlink" Target="https://doi.org/10.3390/plants15121836" TargetMode="External"/><Relationship Id="rId40" Type="http://schemas.openxmlformats.org/officeDocument/2006/relationships/hyperlink" Target="https://doi.org/10.1080/07391102.2022.2078408" TargetMode="External"/><Relationship Id="rId45" Type="http://schemas.openxmlformats.org/officeDocument/2006/relationships/hyperlink" Target="https://doi.org/10.1186/s43094-023-00536-7" TargetMode="External"/><Relationship Id="rId53" Type="http://schemas.openxmlformats.org/officeDocument/2006/relationships/hyperlink" Target="https://doi.org/10.20473/jops.v9i2.67199" TargetMode="External"/><Relationship Id="rId5" Type="http://schemas.openxmlformats.org/officeDocument/2006/relationships/webSettings" Target="webSettings.xml"/><Relationship Id="rId19" Type="http://schemas.openxmlformats.org/officeDocument/2006/relationships/hyperlink" Target="https://doi.org/10.1016/j.heliyon.2023.e17700" TargetMode="External"/><Relationship Id="rId4" Type="http://schemas.openxmlformats.org/officeDocument/2006/relationships/settings" Target="settings.xml"/><Relationship Id="rId9" Type="http://schemas.openxmlformats.org/officeDocument/2006/relationships/hyperlink" Target="https://doi.org/10.4103/2305-0500.311609" TargetMode="External"/><Relationship Id="rId14" Type="http://schemas.openxmlformats.org/officeDocument/2006/relationships/hyperlink" Target="https://doi.org/10.3390/toxics10080477" TargetMode="External"/><Relationship Id="rId22" Type="http://schemas.openxmlformats.org/officeDocument/2006/relationships/hyperlink" Target="https://doi.org/10.1016/j.sajb.2024.01.016" TargetMode="External"/><Relationship Id="rId27" Type="http://schemas.openxmlformats.org/officeDocument/2006/relationships/hyperlink" Target="https://doi.org/10.1186/s40360-024-00792-0" TargetMode="External"/><Relationship Id="rId30" Type="http://schemas.openxmlformats.org/officeDocument/2006/relationships/hyperlink" Target="https://doi.org/10.1186/s12906-025-04769-2" TargetMode="External"/><Relationship Id="rId35" Type="http://schemas.openxmlformats.org/officeDocument/2006/relationships/hyperlink" Target="https://doi.org/10.1016/j.prenap.2025.100287" TargetMode="External"/><Relationship Id="rId43" Type="http://schemas.openxmlformats.org/officeDocument/2006/relationships/hyperlink" Target="https://doi.org/10.1007/s11030-023-10658-y" TargetMode="External"/><Relationship Id="rId48" Type="http://schemas.openxmlformats.org/officeDocument/2006/relationships/hyperlink" Target="https://doi.org/10.3390/plants15121836" TargetMode="External"/><Relationship Id="rId56" Type="http://schemas.openxmlformats.org/officeDocument/2006/relationships/fontTable" Target="fontTable.xml"/><Relationship Id="rId8" Type="http://schemas.openxmlformats.org/officeDocument/2006/relationships/hyperlink" Target="https://doi.org/10.1177/2040206620984076" TargetMode="External"/><Relationship Id="rId51" Type="http://schemas.openxmlformats.org/officeDocument/2006/relationships/hyperlink" Target="https://pmc.ncbi.nlm.nih.gov/articles/PMC10359825/" TargetMode="External"/><Relationship Id="rId3" Type="http://schemas.openxmlformats.org/officeDocument/2006/relationships/styles" Target="styles.xml"/><Relationship Id="rId12" Type="http://schemas.openxmlformats.org/officeDocument/2006/relationships/hyperlink" Target="https://doi.org/10.1080/07391102.2022.2078408" TargetMode="External"/><Relationship Id="rId17" Type="http://schemas.openxmlformats.org/officeDocument/2006/relationships/hyperlink" Target="https://doi.org/10.1186/s43141-023-00489-7" TargetMode="External"/><Relationship Id="rId25" Type="http://schemas.openxmlformats.org/officeDocument/2006/relationships/hyperlink" Target="https://doi.org/10.1007/s00580-024-03587-1" TargetMode="External"/><Relationship Id="rId33" Type="http://schemas.openxmlformats.org/officeDocument/2006/relationships/hyperlink" Target="https://doi.org/10.1016/j.toxlet.2025.06.008" TargetMode="External"/><Relationship Id="rId38" Type="http://schemas.openxmlformats.org/officeDocument/2006/relationships/hyperlink" Target="https://doi.org/10.1177/2040206620984076" TargetMode="External"/><Relationship Id="rId46" Type="http://schemas.openxmlformats.org/officeDocument/2006/relationships/hyperlink" Target="https://doi.org/10.1016/j.sajb.2024.01.016" TargetMode="External"/><Relationship Id="rId20" Type="http://schemas.openxmlformats.org/officeDocument/2006/relationships/hyperlink" Target="https://doi.org/10.1186/s43094-023-00536-7" TargetMode="External"/><Relationship Id="rId41" Type="http://schemas.openxmlformats.org/officeDocument/2006/relationships/hyperlink" Target="https://doi.org/10.3390/toxics10080477" TargetMode="External"/><Relationship Id="rId54" Type="http://schemas.openxmlformats.org/officeDocument/2006/relationships/hyperlink" Target="https://doi.org/10.1016/j.sajb.2024.01.01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cbpc.2022.109500" TargetMode="External"/><Relationship Id="rId23" Type="http://schemas.openxmlformats.org/officeDocument/2006/relationships/hyperlink" Target="https://doi.org/10.1016/j.neulet.2024.137710" TargetMode="External"/><Relationship Id="rId28" Type="http://schemas.openxmlformats.org/officeDocument/2006/relationships/hyperlink" Target="https://doi.org/10.1080/14786419.2024.2423041" TargetMode="External"/><Relationship Id="rId36" Type="http://schemas.openxmlformats.org/officeDocument/2006/relationships/hyperlink" Target="https://doi.org/10.20473/jops.v9i2.67199" TargetMode="External"/><Relationship Id="rId49" Type="http://schemas.openxmlformats.org/officeDocument/2006/relationships/hyperlink" Target="https://www.mdpi.com/2223-7747/15/12/1836" TargetMode="External"/><Relationship Id="rId57" Type="http://schemas.openxmlformats.org/officeDocument/2006/relationships/theme" Target="theme/theme1.xml"/><Relationship Id="rId10" Type="http://schemas.openxmlformats.org/officeDocument/2006/relationships/hyperlink" Target="https://doi.org/10.1186/s43141-021-00209-z" TargetMode="External"/><Relationship Id="rId31" Type="http://schemas.openxmlformats.org/officeDocument/2006/relationships/hyperlink" Target="https://doi.org/10.1007/s44337-025-00333-6" TargetMode="External"/><Relationship Id="rId44" Type="http://schemas.openxmlformats.org/officeDocument/2006/relationships/hyperlink" Target="https://doi.org/10.1016/j.heliyon.2023.e17700" TargetMode="External"/><Relationship Id="rId52" Type="http://schemas.openxmlformats.org/officeDocument/2006/relationships/hyperlink" Target="https://pmc.ncbi.nlm.nih.gov/articles/PMC9413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E2F0C-42F0-4F97-B873-155BE6D70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3040</Words>
  <Characters>17330</Characters>
  <Application>Microsoft Office Word</Application>
  <DocSecurity>0</DocSecurity>
  <Lines>144</Lines>
  <Paragraphs>40</Paragraphs>
  <ScaleCrop>false</ScaleCrop>
  <Company/>
  <LinksUpToDate>false</LinksUpToDate>
  <CharactersWithSpaces>20330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Olalekan Ogunro</dc:creator>
  <cp:keywords/>
  <dc:description/>
  <cp:lastModifiedBy>Olalekan Ogunro</cp:lastModifiedBy>
  <cp:revision>35</cp:revision>
  <dcterms:created xsi:type="dcterms:W3CDTF">2026-10-20T16:16:00Z</dcterms:created>
  <dcterms:modified xsi:type="dcterms:W3CDTF">2026-10-21T08:06:00Z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fac35d89-1c2f-4535-88d2-da0e22dbc8c8</vt:lpwstr>
  </property>
</Properties>
</file>